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0A515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VBB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F77B4F">
        <w:rPr>
          <w:rFonts w:ascii="Arial" w:hAnsi="Arial" w:cs="Arial"/>
          <w:b/>
          <w:sz w:val="20"/>
          <w:szCs w:val="20"/>
        </w:rPr>
        <w:t>Annual General Mandate 2020</w:t>
      </w:r>
      <w:r w:rsidR="000D0CFB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357D3">
        <w:rPr>
          <w:rFonts w:ascii="Arial" w:hAnsi="Arial" w:cs="Arial"/>
          <w:sz w:val="20"/>
          <w:szCs w:val="20"/>
        </w:rPr>
        <w:t>22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0A5159" w:rsidRPr="000A5159">
        <w:rPr>
          <w:rFonts w:ascii="Arial" w:hAnsi="Arial" w:cs="Arial"/>
          <w:sz w:val="20"/>
          <w:szCs w:val="20"/>
        </w:rPr>
        <w:t>Viet Nam Thuong Tin Commercial Joint Stock Bank</w:t>
      </w:r>
      <w:r w:rsidR="000A515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F77B4F" w:rsidRPr="00F77B4F">
        <w:rPr>
          <w:rFonts w:ascii="Arial" w:hAnsi="Arial" w:cs="Arial"/>
          <w:sz w:val="20"/>
          <w:szCs w:val="20"/>
        </w:rPr>
        <w:t xml:space="preserve">Annual General Mandate 2020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0A5159" w:rsidRDefault="000A515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Approve the report on operation results of 2019 and operation plan for 2020 as follows:</w:t>
      </w:r>
    </w:p>
    <w:p w:rsidR="000A5159" w:rsidRDefault="000A515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Operation results of 2019 with following main indicators:</w:t>
      </w:r>
    </w:p>
    <w:p w:rsidR="000A5159" w:rsidRDefault="000A515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Scale indicators:</w:t>
      </w:r>
    </w:p>
    <w:p w:rsidR="000A5159" w:rsidRDefault="000A515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 billion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634"/>
        <w:gridCol w:w="1596"/>
        <w:gridCol w:w="1596"/>
        <w:gridCol w:w="1596"/>
        <w:gridCol w:w="1596"/>
      </w:tblGrid>
      <w:tr w:rsidR="000A5159" w:rsidTr="000A5159">
        <w:tc>
          <w:tcPr>
            <w:tcW w:w="558" w:type="dxa"/>
          </w:tcPr>
          <w:p w:rsidR="000A5159" w:rsidRDefault="000A515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634" w:type="dxa"/>
          </w:tcPr>
          <w:p w:rsidR="000A5159" w:rsidRDefault="000A515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596" w:type="dxa"/>
          </w:tcPr>
          <w:p w:rsidR="000A5159" w:rsidRDefault="000A515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1596" w:type="dxa"/>
          </w:tcPr>
          <w:p w:rsidR="000A5159" w:rsidRDefault="000A515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2019</w:t>
            </w:r>
          </w:p>
        </w:tc>
        <w:tc>
          <w:tcPr>
            <w:tcW w:w="1596" w:type="dxa"/>
          </w:tcPr>
          <w:p w:rsidR="000A5159" w:rsidRDefault="000A515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Plan 2019</w:t>
            </w:r>
          </w:p>
        </w:tc>
        <w:tc>
          <w:tcPr>
            <w:tcW w:w="1596" w:type="dxa"/>
          </w:tcPr>
          <w:p w:rsidR="000A5159" w:rsidRDefault="000A515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+/- Plan 2019</w:t>
            </w:r>
          </w:p>
        </w:tc>
      </w:tr>
      <w:tr w:rsidR="000A5159" w:rsidTr="000A5159">
        <w:tc>
          <w:tcPr>
            <w:tcW w:w="558" w:type="dxa"/>
          </w:tcPr>
          <w:p w:rsidR="000A5159" w:rsidRDefault="000A515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34" w:type="dxa"/>
          </w:tcPr>
          <w:p w:rsidR="000A5159" w:rsidRDefault="000A515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assets</w:t>
            </w:r>
          </w:p>
        </w:tc>
        <w:tc>
          <w:tcPr>
            <w:tcW w:w="1596" w:type="dxa"/>
          </w:tcPr>
          <w:p w:rsidR="000A5159" w:rsidRDefault="000A515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68,928</w:t>
            </w:r>
          </w:p>
        </w:tc>
        <w:tc>
          <w:tcPr>
            <w:tcW w:w="1596" w:type="dxa"/>
          </w:tcPr>
          <w:p w:rsidR="000A5159" w:rsidRDefault="000A515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65,600</w:t>
            </w:r>
          </w:p>
        </w:tc>
        <w:tc>
          <w:tcPr>
            <w:tcW w:w="1596" w:type="dxa"/>
          </w:tcPr>
          <w:p w:rsidR="000A5159" w:rsidRDefault="000A515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105%</w:t>
            </w:r>
          </w:p>
        </w:tc>
        <w:tc>
          <w:tcPr>
            <w:tcW w:w="1596" w:type="dxa"/>
          </w:tcPr>
          <w:p w:rsidR="000A5159" w:rsidRDefault="000A515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3,328</w:t>
            </w:r>
          </w:p>
        </w:tc>
      </w:tr>
      <w:tr w:rsidR="000A5159" w:rsidTr="000A5159">
        <w:tc>
          <w:tcPr>
            <w:tcW w:w="558" w:type="dxa"/>
          </w:tcPr>
          <w:p w:rsidR="000A5159" w:rsidRDefault="000A515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34" w:type="dxa"/>
          </w:tcPr>
          <w:p w:rsidR="000A5159" w:rsidRDefault="000A515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outstanding debts lending to customers </w:t>
            </w:r>
          </w:p>
        </w:tc>
        <w:tc>
          <w:tcPr>
            <w:tcW w:w="1596" w:type="dxa"/>
          </w:tcPr>
          <w:p w:rsidR="000A5159" w:rsidRDefault="000A515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40,919</w:t>
            </w:r>
          </w:p>
        </w:tc>
        <w:tc>
          <w:tcPr>
            <w:tcW w:w="1596" w:type="dxa"/>
          </w:tcPr>
          <w:p w:rsidR="000A5159" w:rsidRDefault="000A515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44,000</w:t>
            </w:r>
          </w:p>
        </w:tc>
        <w:tc>
          <w:tcPr>
            <w:tcW w:w="1596" w:type="dxa"/>
          </w:tcPr>
          <w:p w:rsidR="000A5159" w:rsidRDefault="000A515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93%</w:t>
            </w:r>
          </w:p>
        </w:tc>
        <w:tc>
          <w:tcPr>
            <w:tcW w:w="1596" w:type="dxa"/>
          </w:tcPr>
          <w:p w:rsidR="000A5159" w:rsidRDefault="000A515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-3,081</w:t>
            </w:r>
          </w:p>
        </w:tc>
      </w:tr>
      <w:tr w:rsidR="000A5159" w:rsidTr="000A5159">
        <w:tc>
          <w:tcPr>
            <w:tcW w:w="558" w:type="dxa"/>
          </w:tcPr>
          <w:p w:rsidR="000A5159" w:rsidRDefault="000A515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34" w:type="dxa"/>
          </w:tcPr>
          <w:p w:rsidR="000A5159" w:rsidRDefault="000A515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proceeds</w:t>
            </w:r>
          </w:p>
        </w:tc>
        <w:tc>
          <w:tcPr>
            <w:tcW w:w="1596" w:type="dxa"/>
          </w:tcPr>
          <w:p w:rsidR="000A5159" w:rsidRDefault="000A515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51,947</w:t>
            </w:r>
          </w:p>
        </w:tc>
        <w:tc>
          <w:tcPr>
            <w:tcW w:w="1596" w:type="dxa"/>
          </w:tcPr>
          <w:p w:rsidR="000A5159" w:rsidRDefault="000A515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57,500</w:t>
            </w:r>
          </w:p>
        </w:tc>
        <w:tc>
          <w:tcPr>
            <w:tcW w:w="1596" w:type="dxa"/>
          </w:tcPr>
          <w:p w:rsidR="000A5159" w:rsidRDefault="000A515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90%</w:t>
            </w:r>
          </w:p>
        </w:tc>
        <w:tc>
          <w:tcPr>
            <w:tcW w:w="1596" w:type="dxa"/>
          </w:tcPr>
          <w:p w:rsidR="000A5159" w:rsidRDefault="000A515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-5,553</w:t>
            </w:r>
          </w:p>
        </w:tc>
      </w:tr>
      <w:tr w:rsidR="000A5159" w:rsidTr="000A5159">
        <w:tc>
          <w:tcPr>
            <w:tcW w:w="558" w:type="dxa"/>
          </w:tcPr>
          <w:p w:rsidR="000A5159" w:rsidRDefault="000A515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34" w:type="dxa"/>
          </w:tcPr>
          <w:p w:rsidR="000A5159" w:rsidRDefault="000A515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Charter capital</w:t>
            </w:r>
          </w:p>
        </w:tc>
        <w:tc>
          <w:tcPr>
            <w:tcW w:w="1596" w:type="dxa"/>
          </w:tcPr>
          <w:p w:rsidR="000A5159" w:rsidRDefault="000A515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4,190</w:t>
            </w:r>
          </w:p>
        </w:tc>
        <w:tc>
          <w:tcPr>
            <w:tcW w:w="1596" w:type="dxa"/>
          </w:tcPr>
          <w:p w:rsidR="000A5159" w:rsidRDefault="000A515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4,256</w:t>
            </w:r>
          </w:p>
        </w:tc>
        <w:tc>
          <w:tcPr>
            <w:tcW w:w="1596" w:type="dxa"/>
          </w:tcPr>
          <w:p w:rsidR="000A5159" w:rsidRDefault="000A515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98%</w:t>
            </w:r>
          </w:p>
        </w:tc>
        <w:tc>
          <w:tcPr>
            <w:tcW w:w="1596" w:type="dxa"/>
          </w:tcPr>
          <w:p w:rsidR="000A5159" w:rsidRDefault="000A515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-66</w:t>
            </w:r>
          </w:p>
        </w:tc>
      </w:tr>
    </w:tbl>
    <w:p w:rsidR="000A5159" w:rsidRDefault="000A515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A5159" w:rsidRDefault="000A515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Operation indicators</w:t>
      </w:r>
    </w:p>
    <w:p w:rsidR="000A5159" w:rsidRDefault="000A515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 billion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2723"/>
        <w:gridCol w:w="1596"/>
        <w:gridCol w:w="1595"/>
        <w:gridCol w:w="1595"/>
        <w:gridCol w:w="1595"/>
      </w:tblGrid>
      <w:tr w:rsidR="000A5159" w:rsidTr="000A5159">
        <w:tc>
          <w:tcPr>
            <w:tcW w:w="472" w:type="dxa"/>
          </w:tcPr>
          <w:p w:rsidR="000A5159" w:rsidRDefault="000A5159" w:rsidP="000A51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723" w:type="dxa"/>
          </w:tcPr>
          <w:p w:rsidR="000A5159" w:rsidRDefault="000A5159" w:rsidP="000A51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596" w:type="dxa"/>
          </w:tcPr>
          <w:p w:rsidR="000A5159" w:rsidRDefault="000A5159" w:rsidP="000A51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1595" w:type="dxa"/>
          </w:tcPr>
          <w:p w:rsidR="000A5159" w:rsidRDefault="000A5159" w:rsidP="000A51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2019</w:t>
            </w:r>
          </w:p>
        </w:tc>
        <w:tc>
          <w:tcPr>
            <w:tcW w:w="1595" w:type="dxa"/>
          </w:tcPr>
          <w:p w:rsidR="000A5159" w:rsidRDefault="000A5159" w:rsidP="000A51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Plan 2019</w:t>
            </w:r>
          </w:p>
        </w:tc>
        <w:tc>
          <w:tcPr>
            <w:tcW w:w="1595" w:type="dxa"/>
          </w:tcPr>
          <w:p w:rsidR="000A5159" w:rsidRDefault="000A5159" w:rsidP="000A51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+/- Plan 2019</w:t>
            </w:r>
          </w:p>
        </w:tc>
      </w:tr>
      <w:tr w:rsidR="000A5159" w:rsidTr="000A5159">
        <w:tc>
          <w:tcPr>
            <w:tcW w:w="472" w:type="dxa"/>
          </w:tcPr>
          <w:p w:rsidR="000A5159" w:rsidRDefault="000A5159" w:rsidP="000A51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3" w:type="dxa"/>
          </w:tcPr>
          <w:p w:rsidR="000A5159" w:rsidRDefault="000A5159" w:rsidP="000A51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operation income</w:t>
            </w:r>
          </w:p>
        </w:tc>
        <w:tc>
          <w:tcPr>
            <w:tcW w:w="1596" w:type="dxa"/>
          </w:tcPr>
          <w:p w:rsidR="000A5159" w:rsidRDefault="000A5159" w:rsidP="000A51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1,744</w:t>
            </w:r>
          </w:p>
        </w:tc>
        <w:tc>
          <w:tcPr>
            <w:tcW w:w="1595" w:type="dxa"/>
          </w:tcPr>
          <w:p w:rsidR="000A5159" w:rsidRDefault="000A5159" w:rsidP="000A51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0A5159" w:rsidRDefault="000A5159" w:rsidP="000A51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0A5159" w:rsidRDefault="000A5159" w:rsidP="000A51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159" w:rsidTr="000A5159">
        <w:tc>
          <w:tcPr>
            <w:tcW w:w="472" w:type="dxa"/>
          </w:tcPr>
          <w:p w:rsidR="000A5159" w:rsidRDefault="000A5159" w:rsidP="000A51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23" w:type="dxa"/>
          </w:tcPr>
          <w:p w:rsidR="000A5159" w:rsidRDefault="000A5159" w:rsidP="000A51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operation expense</w:t>
            </w:r>
          </w:p>
        </w:tc>
        <w:tc>
          <w:tcPr>
            <w:tcW w:w="1596" w:type="dxa"/>
          </w:tcPr>
          <w:p w:rsidR="000A5159" w:rsidRDefault="000A5159" w:rsidP="000A51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1,077</w:t>
            </w:r>
          </w:p>
        </w:tc>
        <w:tc>
          <w:tcPr>
            <w:tcW w:w="1595" w:type="dxa"/>
          </w:tcPr>
          <w:p w:rsidR="000A5159" w:rsidRDefault="000A5159" w:rsidP="000A51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0A5159" w:rsidRDefault="000A5159" w:rsidP="000A51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0A5159" w:rsidRDefault="000A5159" w:rsidP="000A51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159" w:rsidTr="000A5159">
        <w:tc>
          <w:tcPr>
            <w:tcW w:w="472" w:type="dxa"/>
          </w:tcPr>
          <w:p w:rsidR="000A5159" w:rsidRDefault="000A5159" w:rsidP="000A51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23" w:type="dxa"/>
          </w:tcPr>
          <w:p w:rsidR="000A5159" w:rsidRDefault="000A5159" w:rsidP="000A51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of previous contract (=1-2)</w:t>
            </w:r>
          </w:p>
        </w:tc>
        <w:tc>
          <w:tcPr>
            <w:tcW w:w="1596" w:type="dxa"/>
          </w:tcPr>
          <w:p w:rsidR="000A5159" w:rsidRDefault="000A5159" w:rsidP="000A51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</w:t>
            </w:r>
          </w:p>
        </w:tc>
        <w:tc>
          <w:tcPr>
            <w:tcW w:w="1595" w:type="dxa"/>
          </w:tcPr>
          <w:p w:rsidR="000A5159" w:rsidRDefault="000A5159" w:rsidP="000A51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0A5159" w:rsidRDefault="000A5159" w:rsidP="000A51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0A5159" w:rsidRDefault="000A5159" w:rsidP="000A51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159" w:rsidTr="000A5159">
        <w:tc>
          <w:tcPr>
            <w:tcW w:w="472" w:type="dxa"/>
          </w:tcPr>
          <w:p w:rsidR="000A5159" w:rsidRDefault="000A5159" w:rsidP="000A51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23" w:type="dxa"/>
          </w:tcPr>
          <w:p w:rsidR="000A5159" w:rsidRDefault="000A5159" w:rsidP="000A51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 (writing back) DP PRTD</w:t>
            </w:r>
          </w:p>
        </w:tc>
        <w:tc>
          <w:tcPr>
            <w:tcW w:w="1596" w:type="dxa"/>
          </w:tcPr>
          <w:p w:rsidR="000A5159" w:rsidRDefault="000A5159" w:rsidP="000A51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95" w:type="dxa"/>
          </w:tcPr>
          <w:p w:rsidR="000A5159" w:rsidRDefault="000A5159" w:rsidP="000A51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0A5159" w:rsidRDefault="000A5159" w:rsidP="000A51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0A5159" w:rsidRDefault="000A5159" w:rsidP="000A51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159" w:rsidTr="000A5159">
        <w:tc>
          <w:tcPr>
            <w:tcW w:w="472" w:type="dxa"/>
          </w:tcPr>
          <w:p w:rsidR="000A5159" w:rsidRDefault="000A5159" w:rsidP="000A51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3" w:type="dxa"/>
          </w:tcPr>
          <w:p w:rsidR="000A5159" w:rsidRDefault="000A5159" w:rsidP="000A51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before tax (=3-4)</w:t>
            </w:r>
          </w:p>
        </w:tc>
        <w:tc>
          <w:tcPr>
            <w:tcW w:w="1596" w:type="dxa"/>
          </w:tcPr>
          <w:p w:rsidR="000A5159" w:rsidRDefault="000A5159" w:rsidP="000A51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1595" w:type="dxa"/>
          </w:tcPr>
          <w:p w:rsidR="000A5159" w:rsidRDefault="000A5159" w:rsidP="000A51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95" w:type="dxa"/>
          </w:tcPr>
          <w:p w:rsidR="000A5159" w:rsidRDefault="000A5159" w:rsidP="000A51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114%</w:t>
            </w:r>
          </w:p>
        </w:tc>
        <w:tc>
          <w:tcPr>
            <w:tcW w:w="1595" w:type="dxa"/>
          </w:tcPr>
          <w:p w:rsidR="000A5159" w:rsidRDefault="000A5159" w:rsidP="000A51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</w:tbl>
    <w:p w:rsidR="000A5159" w:rsidRDefault="000A515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A5159" w:rsidRDefault="000A515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Operation safety indicators: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2267"/>
        <w:gridCol w:w="1367"/>
        <w:gridCol w:w="1368"/>
        <w:gridCol w:w="1368"/>
        <w:gridCol w:w="1367"/>
        <w:gridCol w:w="1367"/>
      </w:tblGrid>
      <w:tr w:rsidR="00ED275B" w:rsidTr="00ED275B">
        <w:tc>
          <w:tcPr>
            <w:tcW w:w="472" w:type="dxa"/>
          </w:tcPr>
          <w:p w:rsidR="00ED275B" w:rsidRDefault="00ED275B" w:rsidP="00ED27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267" w:type="dxa"/>
          </w:tcPr>
          <w:p w:rsidR="00ED275B" w:rsidRDefault="00ED275B" w:rsidP="00ED27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367" w:type="dxa"/>
          </w:tcPr>
          <w:p w:rsidR="00ED275B" w:rsidRDefault="00ED275B" w:rsidP="00ED27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2019</w:t>
            </w:r>
          </w:p>
        </w:tc>
        <w:tc>
          <w:tcPr>
            <w:tcW w:w="1368" w:type="dxa"/>
          </w:tcPr>
          <w:p w:rsidR="00ED275B" w:rsidRDefault="00ED275B" w:rsidP="00ED27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Regulation of the State Bank</w:t>
            </w:r>
          </w:p>
        </w:tc>
        <w:tc>
          <w:tcPr>
            <w:tcW w:w="1368" w:type="dxa"/>
          </w:tcPr>
          <w:p w:rsidR="00ED275B" w:rsidRDefault="00ED275B" w:rsidP="00ED27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Compared to the regulation</w:t>
            </w:r>
          </w:p>
        </w:tc>
        <w:tc>
          <w:tcPr>
            <w:tcW w:w="1367" w:type="dxa"/>
          </w:tcPr>
          <w:p w:rsidR="00ED275B" w:rsidRDefault="00ED275B" w:rsidP="00ED27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2018</w:t>
            </w:r>
          </w:p>
        </w:tc>
        <w:tc>
          <w:tcPr>
            <w:tcW w:w="1367" w:type="dxa"/>
          </w:tcPr>
          <w:p w:rsidR="00ED275B" w:rsidRDefault="00ED275B" w:rsidP="00ED27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+/- Plan 2018</w:t>
            </w:r>
          </w:p>
        </w:tc>
      </w:tr>
      <w:tr w:rsidR="00ED275B" w:rsidTr="00ED275B">
        <w:tc>
          <w:tcPr>
            <w:tcW w:w="472" w:type="dxa"/>
          </w:tcPr>
          <w:p w:rsidR="00ED275B" w:rsidRDefault="00ED275B" w:rsidP="00ED27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7" w:type="dxa"/>
          </w:tcPr>
          <w:p w:rsidR="00ED275B" w:rsidRDefault="00ED275B" w:rsidP="00ED27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debt rate</w:t>
            </w:r>
          </w:p>
        </w:tc>
        <w:tc>
          <w:tcPr>
            <w:tcW w:w="1367" w:type="dxa"/>
          </w:tcPr>
          <w:p w:rsidR="00ED275B" w:rsidRDefault="00ED275B" w:rsidP="00ED27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1.32%</w:t>
            </w:r>
          </w:p>
        </w:tc>
        <w:tc>
          <w:tcPr>
            <w:tcW w:w="1368" w:type="dxa"/>
          </w:tcPr>
          <w:p w:rsidR="00ED275B" w:rsidRDefault="00ED275B" w:rsidP="00ED27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≤ 3%</w:t>
            </w:r>
          </w:p>
        </w:tc>
        <w:tc>
          <w:tcPr>
            <w:tcW w:w="1368" w:type="dxa"/>
          </w:tcPr>
          <w:p w:rsidR="00ED275B" w:rsidRDefault="00ED275B" w:rsidP="00ED27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Accepted</w:t>
            </w:r>
          </w:p>
        </w:tc>
        <w:tc>
          <w:tcPr>
            <w:tcW w:w="1367" w:type="dxa"/>
          </w:tcPr>
          <w:p w:rsidR="00ED275B" w:rsidRDefault="00ED275B" w:rsidP="00ED27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1.25%</w:t>
            </w:r>
          </w:p>
        </w:tc>
        <w:tc>
          <w:tcPr>
            <w:tcW w:w="1367" w:type="dxa"/>
          </w:tcPr>
          <w:p w:rsidR="00ED275B" w:rsidRDefault="00ED275B" w:rsidP="00ED27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0.07%</w:t>
            </w:r>
          </w:p>
        </w:tc>
      </w:tr>
      <w:tr w:rsidR="00ED275B" w:rsidTr="00ED275B">
        <w:tc>
          <w:tcPr>
            <w:tcW w:w="472" w:type="dxa"/>
          </w:tcPr>
          <w:p w:rsidR="00ED275B" w:rsidRDefault="00ED275B" w:rsidP="00ED27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7" w:type="dxa"/>
          </w:tcPr>
          <w:p w:rsidR="00ED275B" w:rsidRDefault="00ED275B" w:rsidP="00ED27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 (minimum safety coefficient)</w:t>
            </w:r>
          </w:p>
        </w:tc>
        <w:tc>
          <w:tcPr>
            <w:tcW w:w="1367" w:type="dxa"/>
          </w:tcPr>
          <w:p w:rsidR="00ED275B" w:rsidRDefault="00ED275B" w:rsidP="00ED27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8.34%</w:t>
            </w:r>
          </w:p>
        </w:tc>
        <w:tc>
          <w:tcPr>
            <w:tcW w:w="1368" w:type="dxa"/>
          </w:tcPr>
          <w:p w:rsidR="00ED275B" w:rsidRDefault="00ED275B" w:rsidP="00ED27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8%</w:t>
            </w:r>
          </w:p>
        </w:tc>
        <w:tc>
          <w:tcPr>
            <w:tcW w:w="1368" w:type="dxa"/>
          </w:tcPr>
          <w:p w:rsidR="00ED275B" w:rsidRDefault="00ED275B" w:rsidP="00ED27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Accepted</w:t>
            </w:r>
          </w:p>
        </w:tc>
        <w:tc>
          <w:tcPr>
            <w:tcW w:w="1367" w:type="dxa"/>
          </w:tcPr>
          <w:p w:rsidR="00ED275B" w:rsidRDefault="00ED275B" w:rsidP="00ED27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11.10%</w:t>
            </w:r>
          </w:p>
        </w:tc>
        <w:tc>
          <w:tcPr>
            <w:tcW w:w="1367" w:type="dxa"/>
          </w:tcPr>
          <w:p w:rsidR="00ED275B" w:rsidRDefault="00ED275B" w:rsidP="00ED27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-2.76%</w:t>
            </w:r>
          </w:p>
        </w:tc>
      </w:tr>
      <w:tr w:rsidR="00ED275B" w:rsidTr="00ED275B">
        <w:tc>
          <w:tcPr>
            <w:tcW w:w="472" w:type="dxa"/>
          </w:tcPr>
          <w:p w:rsidR="00ED275B" w:rsidRDefault="00ED275B" w:rsidP="00ED27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:rsidR="00ED275B" w:rsidRDefault="00ED275B" w:rsidP="00ED27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LDR (CV/ total contract)</w:t>
            </w:r>
          </w:p>
        </w:tc>
        <w:tc>
          <w:tcPr>
            <w:tcW w:w="1367" w:type="dxa"/>
          </w:tcPr>
          <w:p w:rsidR="00ED275B" w:rsidRDefault="00ED275B" w:rsidP="00ED27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67.75%</w:t>
            </w:r>
          </w:p>
        </w:tc>
        <w:tc>
          <w:tcPr>
            <w:tcW w:w="1368" w:type="dxa"/>
          </w:tcPr>
          <w:p w:rsidR="00ED275B" w:rsidRDefault="00ED275B" w:rsidP="00ED27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≤ 8</w:t>
            </w:r>
            <w:r w:rsidR="006B22E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68" w:type="dxa"/>
          </w:tcPr>
          <w:p w:rsidR="00ED275B" w:rsidRDefault="00ED275B" w:rsidP="00ED27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Accepted</w:t>
            </w:r>
          </w:p>
        </w:tc>
        <w:tc>
          <w:tcPr>
            <w:tcW w:w="1367" w:type="dxa"/>
          </w:tcPr>
          <w:p w:rsidR="00ED275B" w:rsidRDefault="00ED275B" w:rsidP="00ED27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71.79%</w:t>
            </w:r>
          </w:p>
        </w:tc>
        <w:tc>
          <w:tcPr>
            <w:tcW w:w="1367" w:type="dxa"/>
          </w:tcPr>
          <w:p w:rsidR="00ED275B" w:rsidRDefault="00ED275B" w:rsidP="00ED27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-4.04%</w:t>
            </w:r>
          </w:p>
        </w:tc>
      </w:tr>
      <w:tr w:rsidR="00ED275B" w:rsidTr="00ED275B">
        <w:tc>
          <w:tcPr>
            <w:tcW w:w="472" w:type="dxa"/>
          </w:tcPr>
          <w:p w:rsidR="00ED275B" w:rsidRDefault="00ED275B" w:rsidP="00ED27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7" w:type="dxa"/>
          </w:tcPr>
          <w:p w:rsidR="00ED275B" w:rsidRDefault="00ED275B" w:rsidP="00ED27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 resources rate NH CV TDH</w:t>
            </w:r>
          </w:p>
        </w:tc>
        <w:tc>
          <w:tcPr>
            <w:tcW w:w="1367" w:type="dxa"/>
          </w:tcPr>
          <w:p w:rsidR="00ED275B" w:rsidRDefault="00ED275B" w:rsidP="00ED27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32.39%</w:t>
            </w:r>
          </w:p>
        </w:tc>
        <w:tc>
          <w:tcPr>
            <w:tcW w:w="1368" w:type="dxa"/>
          </w:tcPr>
          <w:p w:rsidR="00ED275B" w:rsidRDefault="00ED275B" w:rsidP="00ED27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≤ 40%</w:t>
            </w:r>
          </w:p>
        </w:tc>
        <w:tc>
          <w:tcPr>
            <w:tcW w:w="1368" w:type="dxa"/>
          </w:tcPr>
          <w:p w:rsidR="00ED275B" w:rsidRDefault="00ED275B" w:rsidP="00ED27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Accepted</w:t>
            </w:r>
          </w:p>
        </w:tc>
        <w:tc>
          <w:tcPr>
            <w:tcW w:w="1367" w:type="dxa"/>
          </w:tcPr>
          <w:p w:rsidR="00ED275B" w:rsidRDefault="00ED275B" w:rsidP="00ED27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35.40%</w:t>
            </w:r>
          </w:p>
        </w:tc>
        <w:tc>
          <w:tcPr>
            <w:tcW w:w="1367" w:type="dxa"/>
          </w:tcPr>
          <w:p w:rsidR="00ED275B" w:rsidRDefault="00ED275B" w:rsidP="00ED27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-3.01%</w:t>
            </w:r>
          </w:p>
        </w:tc>
      </w:tr>
    </w:tbl>
    <w:p w:rsidR="000A5159" w:rsidRDefault="000A515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090D" w:rsidRDefault="00EA090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Operation plan for 2020</w:t>
      </w:r>
    </w:p>
    <w:p w:rsidR="00EA090D" w:rsidRDefault="00EA090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Minimum operation plan (according to the credit growth indicator in 2020 assigned by the State Bank: VND 44,908 billion)</w:t>
      </w:r>
    </w:p>
    <w:p w:rsidR="00EA090D" w:rsidRDefault="00EA090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 billion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72"/>
        <w:gridCol w:w="1915"/>
        <w:gridCol w:w="1915"/>
        <w:gridCol w:w="1916"/>
      </w:tblGrid>
      <w:tr w:rsidR="00EA090D" w:rsidTr="00EA090D">
        <w:tc>
          <w:tcPr>
            <w:tcW w:w="558" w:type="dxa"/>
          </w:tcPr>
          <w:p w:rsidR="00EA090D" w:rsidRDefault="00EA090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272" w:type="dxa"/>
          </w:tcPr>
          <w:p w:rsidR="00EA090D" w:rsidRDefault="00EA090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915" w:type="dxa"/>
          </w:tcPr>
          <w:p w:rsidR="00EA090D" w:rsidRDefault="00EA090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1915" w:type="dxa"/>
          </w:tcPr>
          <w:p w:rsidR="00EA090D" w:rsidRDefault="00EA090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</w:t>
            </w:r>
          </w:p>
        </w:tc>
        <w:tc>
          <w:tcPr>
            <w:tcW w:w="1916" w:type="dxa"/>
          </w:tcPr>
          <w:p w:rsidR="00EA090D" w:rsidRDefault="00EA090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+/- compared to 2019</w:t>
            </w:r>
          </w:p>
        </w:tc>
      </w:tr>
      <w:tr w:rsidR="00EA090D" w:rsidTr="00EA090D">
        <w:tc>
          <w:tcPr>
            <w:tcW w:w="558" w:type="dxa"/>
          </w:tcPr>
          <w:p w:rsidR="00EA090D" w:rsidRDefault="00EA090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2" w:type="dxa"/>
          </w:tcPr>
          <w:p w:rsidR="00EA090D" w:rsidRDefault="00EA090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assets</w:t>
            </w:r>
          </w:p>
        </w:tc>
        <w:tc>
          <w:tcPr>
            <w:tcW w:w="1915" w:type="dxa"/>
          </w:tcPr>
          <w:p w:rsidR="00EA090D" w:rsidRDefault="00EA090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68,947</w:t>
            </w:r>
          </w:p>
        </w:tc>
        <w:tc>
          <w:tcPr>
            <w:tcW w:w="1915" w:type="dxa"/>
          </w:tcPr>
          <w:p w:rsidR="00EA090D" w:rsidRDefault="00EA090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79,289</w:t>
            </w:r>
          </w:p>
        </w:tc>
        <w:tc>
          <w:tcPr>
            <w:tcW w:w="1916" w:type="dxa"/>
          </w:tcPr>
          <w:p w:rsidR="00EA090D" w:rsidRDefault="00EA090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10,342</w:t>
            </w:r>
          </w:p>
        </w:tc>
      </w:tr>
      <w:tr w:rsidR="00EA090D" w:rsidTr="00EA090D">
        <w:tc>
          <w:tcPr>
            <w:tcW w:w="558" w:type="dxa"/>
          </w:tcPr>
          <w:p w:rsidR="00EA090D" w:rsidRDefault="00EA090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2" w:type="dxa"/>
          </w:tcPr>
          <w:p w:rsidR="00EA090D" w:rsidRDefault="00EA090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outstanding debts </w:t>
            </w:r>
          </w:p>
        </w:tc>
        <w:tc>
          <w:tcPr>
            <w:tcW w:w="1915" w:type="dxa"/>
          </w:tcPr>
          <w:p w:rsidR="00EA090D" w:rsidRDefault="00EA090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40,919</w:t>
            </w:r>
          </w:p>
        </w:tc>
        <w:tc>
          <w:tcPr>
            <w:tcW w:w="1915" w:type="dxa"/>
          </w:tcPr>
          <w:p w:rsidR="00EA090D" w:rsidRDefault="00EA090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44,908</w:t>
            </w:r>
          </w:p>
        </w:tc>
        <w:tc>
          <w:tcPr>
            <w:tcW w:w="1916" w:type="dxa"/>
          </w:tcPr>
          <w:p w:rsidR="00EA090D" w:rsidRDefault="00EA090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3,989</w:t>
            </w:r>
          </w:p>
        </w:tc>
      </w:tr>
      <w:tr w:rsidR="00EA090D" w:rsidTr="00EA090D">
        <w:tc>
          <w:tcPr>
            <w:tcW w:w="558" w:type="dxa"/>
          </w:tcPr>
          <w:p w:rsidR="00EA090D" w:rsidRDefault="00EA090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2" w:type="dxa"/>
          </w:tcPr>
          <w:p w:rsidR="00EA090D" w:rsidRDefault="00EA090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proceeds (including GTCG)</w:t>
            </w:r>
          </w:p>
        </w:tc>
        <w:tc>
          <w:tcPr>
            <w:tcW w:w="1915" w:type="dxa"/>
          </w:tcPr>
          <w:p w:rsidR="00EA090D" w:rsidRDefault="00EA090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51,965</w:t>
            </w:r>
          </w:p>
        </w:tc>
        <w:tc>
          <w:tcPr>
            <w:tcW w:w="1915" w:type="dxa"/>
          </w:tcPr>
          <w:p w:rsidR="00EA090D" w:rsidRDefault="00EA090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59,760</w:t>
            </w:r>
          </w:p>
        </w:tc>
        <w:tc>
          <w:tcPr>
            <w:tcW w:w="1916" w:type="dxa"/>
          </w:tcPr>
          <w:p w:rsidR="00EA090D" w:rsidRDefault="00EA090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7,795</w:t>
            </w:r>
          </w:p>
        </w:tc>
      </w:tr>
      <w:tr w:rsidR="00EA090D" w:rsidTr="00EA090D">
        <w:tc>
          <w:tcPr>
            <w:tcW w:w="558" w:type="dxa"/>
          </w:tcPr>
          <w:p w:rsidR="00EA090D" w:rsidRDefault="00EA090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72" w:type="dxa"/>
          </w:tcPr>
          <w:p w:rsidR="00EA090D" w:rsidRDefault="00EA090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proceeds</w:t>
            </w:r>
          </w:p>
        </w:tc>
        <w:tc>
          <w:tcPr>
            <w:tcW w:w="1915" w:type="dxa"/>
          </w:tcPr>
          <w:p w:rsidR="00EA090D" w:rsidRDefault="00EA090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44,243</w:t>
            </w:r>
          </w:p>
        </w:tc>
        <w:tc>
          <w:tcPr>
            <w:tcW w:w="1915" w:type="dxa"/>
          </w:tcPr>
          <w:p w:rsidR="00EA090D" w:rsidRDefault="00EA090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55,900</w:t>
            </w:r>
          </w:p>
        </w:tc>
        <w:tc>
          <w:tcPr>
            <w:tcW w:w="1916" w:type="dxa"/>
          </w:tcPr>
          <w:p w:rsidR="00EA090D" w:rsidRDefault="00EA090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11,657</w:t>
            </w:r>
          </w:p>
        </w:tc>
      </w:tr>
      <w:tr w:rsidR="00EA090D" w:rsidTr="00EA090D">
        <w:tc>
          <w:tcPr>
            <w:tcW w:w="558" w:type="dxa"/>
          </w:tcPr>
          <w:p w:rsidR="00EA090D" w:rsidRDefault="00EA090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2" w:type="dxa"/>
          </w:tcPr>
          <w:p w:rsidR="00EA090D" w:rsidRDefault="002D560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1915" w:type="dxa"/>
          </w:tcPr>
          <w:p w:rsidR="00EA090D" w:rsidRDefault="002D560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1915" w:type="dxa"/>
          </w:tcPr>
          <w:p w:rsidR="00EA090D" w:rsidRDefault="002D560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916" w:type="dxa"/>
          </w:tcPr>
          <w:p w:rsidR="00EA090D" w:rsidRDefault="002D560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-313</w:t>
            </w:r>
          </w:p>
        </w:tc>
      </w:tr>
      <w:tr w:rsidR="00EA090D" w:rsidTr="00EA090D">
        <w:tc>
          <w:tcPr>
            <w:tcW w:w="558" w:type="dxa"/>
          </w:tcPr>
          <w:p w:rsidR="00EA090D" w:rsidRDefault="00EA090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72" w:type="dxa"/>
          </w:tcPr>
          <w:p w:rsidR="00EA090D" w:rsidRDefault="002D560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debt rate</w:t>
            </w:r>
          </w:p>
        </w:tc>
        <w:tc>
          <w:tcPr>
            <w:tcW w:w="1915" w:type="dxa"/>
          </w:tcPr>
          <w:p w:rsidR="00EA090D" w:rsidRDefault="002D560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1.32%</w:t>
            </w:r>
          </w:p>
        </w:tc>
        <w:tc>
          <w:tcPr>
            <w:tcW w:w="1915" w:type="dxa"/>
          </w:tcPr>
          <w:p w:rsidR="00EA090D" w:rsidRDefault="002D560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2%</w:t>
            </w:r>
          </w:p>
        </w:tc>
        <w:tc>
          <w:tcPr>
            <w:tcW w:w="1916" w:type="dxa"/>
          </w:tcPr>
          <w:p w:rsidR="00EA090D" w:rsidRDefault="00EA090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090D" w:rsidRDefault="00EA090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560F" w:rsidRDefault="002D560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Operation plan for 2020: adjusting the credit growth rate after approval of the State Bank</w:t>
      </w:r>
    </w:p>
    <w:p w:rsidR="002D560F" w:rsidRDefault="002D560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 billion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72"/>
        <w:gridCol w:w="1915"/>
        <w:gridCol w:w="1915"/>
        <w:gridCol w:w="1916"/>
      </w:tblGrid>
      <w:tr w:rsidR="002D560F" w:rsidTr="00BC3D14">
        <w:tc>
          <w:tcPr>
            <w:tcW w:w="558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272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915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1915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</w:t>
            </w:r>
          </w:p>
        </w:tc>
        <w:tc>
          <w:tcPr>
            <w:tcW w:w="1916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+/- compared to 2019</w:t>
            </w:r>
          </w:p>
        </w:tc>
      </w:tr>
      <w:tr w:rsidR="002D560F" w:rsidTr="00BC3D14">
        <w:tc>
          <w:tcPr>
            <w:tcW w:w="558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2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assets</w:t>
            </w:r>
          </w:p>
        </w:tc>
        <w:tc>
          <w:tcPr>
            <w:tcW w:w="1915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68,947</w:t>
            </w:r>
          </w:p>
        </w:tc>
        <w:tc>
          <w:tcPr>
            <w:tcW w:w="1915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82,736</w:t>
            </w:r>
          </w:p>
        </w:tc>
        <w:tc>
          <w:tcPr>
            <w:tcW w:w="1916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13,789</w:t>
            </w:r>
          </w:p>
        </w:tc>
      </w:tr>
      <w:tr w:rsidR="002D560F" w:rsidTr="00BC3D14">
        <w:tc>
          <w:tcPr>
            <w:tcW w:w="558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2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outstanding debts </w:t>
            </w:r>
          </w:p>
        </w:tc>
        <w:tc>
          <w:tcPr>
            <w:tcW w:w="1915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40,919</w:t>
            </w:r>
          </w:p>
        </w:tc>
        <w:tc>
          <w:tcPr>
            <w:tcW w:w="1915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47,057</w:t>
            </w:r>
          </w:p>
        </w:tc>
        <w:tc>
          <w:tcPr>
            <w:tcW w:w="1916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6,138</w:t>
            </w:r>
          </w:p>
        </w:tc>
      </w:tr>
      <w:tr w:rsidR="002D560F" w:rsidTr="00BC3D14">
        <w:tc>
          <w:tcPr>
            <w:tcW w:w="558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2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proceeds (including GTCG)</w:t>
            </w:r>
          </w:p>
        </w:tc>
        <w:tc>
          <w:tcPr>
            <w:tcW w:w="1915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51,965</w:t>
            </w:r>
          </w:p>
        </w:tc>
        <w:tc>
          <w:tcPr>
            <w:tcW w:w="1915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62,359</w:t>
            </w:r>
          </w:p>
        </w:tc>
        <w:tc>
          <w:tcPr>
            <w:tcW w:w="1916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10,394</w:t>
            </w:r>
          </w:p>
        </w:tc>
      </w:tr>
      <w:tr w:rsidR="002D560F" w:rsidTr="00BC3D14">
        <w:tc>
          <w:tcPr>
            <w:tcW w:w="558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72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proceeds</w:t>
            </w:r>
          </w:p>
        </w:tc>
        <w:tc>
          <w:tcPr>
            <w:tcW w:w="1915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44,243</w:t>
            </w:r>
          </w:p>
        </w:tc>
        <w:tc>
          <w:tcPr>
            <w:tcW w:w="1915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57,200</w:t>
            </w:r>
          </w:p>
        </w:tc>
        <w:tc>
          <w:tcPr>
            <w:tcW w:w="1916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12,957</w:t>
            </w:r>
          </w:p>
        </w:tc>
      </w:tr>
      <w:tr w:rsidR="002D560F" w:rsidTr="00BC3D14">
        <w:tc>
          <w:tcPr>
            <w:tcW w:w="558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2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1915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1915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916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-63</w:t>
            </w:r>
          </w:p>
        </w:tc>
      </w:tr>
      <w:tr w:rsidR="002D560F" w:rsidTr="00BC3D14">
        <w:tc>
          <w:tcPr>
            <w:tcW w:w="558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72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debt rate</w:t>
            </w:r>
          </w:p>
        </w:tc>
        <w:tc>
          <w:tcPr>
            <w:tcW w:w="1915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1.32%</w:t>
            </w:r>
          </w:p>
        </w:tc>
        <w:tc>
          <w:tcPr>
            <w:tcW w:w="1915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2%</w:t>
            </w:r>
          </w:p>
        </w:tc>
        <w:tc>
          <w:tcPr>
            <w:tcW w:w="1916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560F" w:rsidRDefault="002D560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560F" w:rsidRDefault="002D560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Operation plan (after approval of the State Bank related to the credit growth indicator)</w:t>
      </w:r>
    </w:p>
    <w:p w:rsidR="002D560F" w:rsidRDefault="002D560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 billion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72"/>
        <w:gridCol w:w="1915"/>
        <w:gridCol w:w="1915"/>
        <w:gridCol w:w="1916"/>
      </w:tblGrid>
      <w:tr w:rsidR="002D560F" w:rsidTr="00BC3D14">
        <w:tc>
          <w:tcPr>
            <w:tcW w:w="558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272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915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1915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</w:t>
            </w:r>
          </w:p>
        </w:tc>
        <w:tc>
          <w:tcPr>
            <w:tcW w:w="1916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+/- compared to 2019</w:t>
            </w:r>
          </w:p>
        </w:tc>
      </w:tr>
      <w:tr w:rsidR="002D560F" w:rsidTr="00BC3D14">
        <w:tc>
          <w:tcPr>
            <w:tcW w:w="558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2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assets</w:t>
            </w:r>
          </w:p>
        </w:tc>
        <w:tc>
          <w:tcPr>
            <w:tcW w:w="1915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68,947</w:t>
            </w:r>
          </w:p>
        </w:tc>
        <w:tc>
          <w:tcPr>
            <w:tcW w:w="1915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90,000</w:t>
            </w:r>
          </w:p>
        </w:tc>
        <w:tc>
          <w:tcPr>
            <w:tcW w:w="1916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21,053</w:t>
            </w:r>
          </w:p>
        </w:tc>
      </w:tr>
      <w:tr w:rsidR="002D560F" w:rsidTr="00BC3D14">
        <w:tc>
          <w:tcPr>
            <w:tcW w:w="558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2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outstanding debts </w:t>
            </w:r>
          </w:p>
        </w:tc>
        <w:tc>
          <w:tcPr>
            <w:tcW w:w="1915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40,919</w:t>
            </w:r>
          </w:p>
        </w:tc>
        <w:tc>
          <w:tcPr>
            <w:tcW w:w="1915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1916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9,081</w:t>
            </w:r>
          </w:p>
        </w:tc>
      </w:tr>
      <w:tr w:rsidR="002D560F" w:rsidTr="00BC3D14">
        <w:tc>
          <w:tcPr>
            <w:tcW w:w="558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2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proceeds (including GTCG)</w:t>
            </w:r>
          </w:p>
        </w:tc>
        <w:tc>
          <w:tcPr>
            <w:tcW w:w="1915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51,965</w:t>
            </w:r>
          </w:p>
        </w:tc>
        <w:tc>
          <w:tcPr>
            <w:tcW w:w="1915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65,000</w:t>
            </w:r>
          </w:p>
        </w:tc>
        <w:tc>
          <w:tcPr>
            <w:tcW w:w="1916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13,035</w:t>
            </w:r>
          </w:p>
        </w:tc>
      </w:tr>
      <w:tr w:rsidR="002D560F" w:rsidTr="00BC3D14">
        <w:tc>
          <w:tcPr>
            <w:tcW w:w="558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72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proceeds</w:t>
            </w:r>
          </w:p>
        </w:tc>
        <w:tc>
          <w:tcPr>
            <w:tcW w:w="1915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44,243</w:t>
            </w:r>
          </w:p>
        </w:tc>
        <w:tc>
          <w:tcPr>
            <w:tcW w:w="1915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58,000</w:t>
            </w:r>
          </w:p>
        </w:tc>
        <w:tc>
          <w:tcPr>
            <w:tcW w:w="1916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13,757</w:t>
            </w:r>
          </w:p>
        </w:tc>
      </w:tr>
      <w:tr w:rsidR="002D560F" w:rsidTr="00BC3D14">
        <w:tc>
          <w:tcPr>
            <w:tcW w:w="558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2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1915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1915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1916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D560F" w:rsidTr="00BC3D14">
        <w:tc>
          <w:tcPr>
            <w:tcW w:w="558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72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debt rate</w:t>
            </w:r>
          </w:p>
        </w:tc>
        <w:tc>
          <w:tcPr>
            <w:tcW w:w="1915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1.32%</w:t>
            </w:r>
          </w:p>
        </w:tc>
        <w:tc>
          <w:tcPr>
            <w:tcW w:w="1915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2%</w:t>
            </w:r>
          </w:p>
        </w:tc>
        <w:tc>
          <w:tcPr>
            <w:tcW w:w="1916" w:type="dxa"/>
          </w:tcPr>
          <w:p w:rsidR="002D560F" w:rsidRDefault="002D560F" w:rsidP="00BC3D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560F" w:rsidRDefault="002D560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560F" w:rsidRDefault="002D560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Approve the audited financial statement of 2019 as follows: (Unit: VND million)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4318"/>
        <w:gridCol w:w="2393"/>
        <w:gridCol w:w="2393"/>
      </w:tblGrid>
      <w:tr w:rsidR="002D560F" w:rsidTr="002E0AFF">
        <w:tc>
          <w:tcPr>
            <w:tcW w:w="472" w:type="dxa"/>
          </w:tcPr>
          <w:p w:rsidR="002D560F" w:rsidRDefault="002D560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318" w:type="dxa"/>
          </w:tcPr>
          <w:p w:rsidR="002D560F" w:rsidRDefault="002D560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2393" w:type="dxa"/>
          </w:tcPr>
          <w:p w:rsidR="002D560F" w:rsidRDefault="002D560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Separate financial statement </w:t>
            </w:r>
          </w:p>
        </w:tc>
        <w:tc>
          <w:tcPr>
            <w:tcW w:w="2393" w:type="dxa"/>
          </w:tcPr>
          <w:p w:rsidR="002D560F" w:rsidRDefault="002D560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Consolidated financial statement </w:t>
            </w:r>
          </w:p>
        </w:tc>
      </w:tr>
      <w:tr w:rsidR="002E0AFF" w:rsidTr="00BC3D14">
        <w:tc>
          <w:tcPr>
            <w:tcW w:w="9576" w:type="dxa"/>
            <w:gridSpan w:val="4"/>
          </w:tcPr>
          <w:p w:rsidR="002E0AFF" w:rsidRDefault="002E0AF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 related to business</w:t>
            </w:r>
          </w:p>
        </w:tc>
      </w:tr>
      <w:tr w:rsidR="002D560F" w:rsidTr="002E0AFF">
        <w:tc>
          <w:tcPr>
            <w:tcW w:w="472" w:type="dxa"/>
          </w:tcPr>
          <w:p w:rsidR="002D560F" w:rsidRDefault="002E0AF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8" w:type="dxa"/>
          </w:tcPr>
          <w:p w:rsidR="002D560F" w:rsidRDefault="002E0AF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assets</w:t>
            </w:r>
          </w:p>
        </w:tc>
        <w:tc>
          <w:tcPr>
            <w:tcW w:w="2393" w:type="dxa"/>
          </w:tcPr>
          <w:p w:rsidR="002D560F" w:rsidRDefault="002E0AF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68,946,502</w:t>
            </w:r>
          </w:p>
        </w:tc>
        <w:tc>
          <w:tcPr>
            <w:tcW w:w="2393" w:type="dxa"/>
          </w:tcPr>
          <w:p w:rsidR="002D560F" w:rsidRDefault="002E0AF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68,928,115</w:t>
            </w:r>
          </w:p>
        </w:tc>
      </w:tr>
      <w:tr w:rsidR="002D560F" w:rsidTr="002E0AFF">
        <w:tc>
          <w:tcPr>
            <w:tcW w:w="472" w:type="dxa"/>
          </w:tcPr>
          <w:p w:rsidR="002D560F" w:rsidRDefault="002E0AF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8" w:type="dxa"/>
          </w:tcPr>
          <w:p w:rsidR="002D560F" w:rsidRDefault="002E0AF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outstanding debts (after DPRRTD)</w:t>
            </w:r>
          </w:p>
        </w:tc>
        <w:tc>
          <w:tcPr>
            <w:tcW w:w="2393" w:type="dxa"/>
          </w:tcPr>
          <w:p w:rsidR="002D560F" w:rsidRDefault="002E0AF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40,574,424</w:t>
            </w:r>
          </w:p>
        </w:tc>
        <w:tc>
          <w:tcPr>
            <w:tcW w:w="2393" w:type="dxa"/>
          </w:tcPr>
          <w:p w:rsidR="002D560F" w:rsidRDefault="002E0AF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40,574,424</w:t>
            </w:r>
          </w:p>
        </w:tc>
      </w:tr>
      <w:tr w:rsidR="002D560F" w:rsidTr="002E0AFF">
        <w:tc>
          <w:tcPr>
            <w:tcW w:w="472" w:type="dxa"/>
          </w:tcPr>
          <w:p w:rsidR="002D560F" w:rsidRDefault="002D560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8" w:type="dxa"/>
          </w:tcPr>
          <w:p w:rsidR="002D560F" w:rsidRDefault="002E0AF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outstanding debts (before DPRRTD)</w:t>
            </w:r>
          </w:p>
        </w:tc>
        <w:tc>
          <w:tcPr>
            <w:tcW w:w="2393" w:type="dxa"/>
          </w:tcPr>
          <w:p w:rsidR="002D560F" w:rsidRDefault="002E0AF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40,918,793</w:t>
            </w:r>
          </w:p>
        </w:tc>
        <w:tc>
          <w:tcPr>
            <w:tcW w:w="2393" w:type="dxa"/>
          </w:tcPr>
          <w:p w:rsidR="002D560F" w:rsidRDefault="002E0AF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40,918,793</w:t>
            </w:r>
          </w:p>
        </w:tc>
      </w:tr>
      <w:tr w:rsidR="002D560F" w:rsidTr="002E0AFF">
        <w:tc>
          <w:tcPr>
            <w:tcW w:w="472" w:type="dxa"/>
          </w:tcPr>
          <w:p w:rsidR="002D560F" w:rsidRDefault="002E0AF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8" w:type="dxa"/>
          </w:tcPr>
          <w:p w:rsidR="002D560F" w:rsidRDefault="002E0AF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proceeds</w:t>
            </w:r>
          </w:p>
        </w:tc>
        <w:tc>
          <w:tcPr>
            <w:tcW w:w="2393" w:type="dxa"/>
          </w:tcPr>
          <w:p w:rsidR="002D560F" w:rsidRDefault="002D560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2D560F" w:rsidRDefault="002D560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60F" w:rsidTr="002E0AFF">
        <w:tc>
          <w:tcPr>
            <w:tcW w:w="472" w:type="dxa"/>
          </w:tcPr>
          <w:p w:rsidR="002D560F" w:rsidRDefault="002D560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8" w:type="dxa"/>
          </w:tcPr>
          <w:p w:rsidR="002D560F" w:rsidRDefault="002E0AF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From other TCTD</w:t>
            </w:r>
          </w:p>
        </w:tc>
        <w:tc>
          <w:tcPr>
            <w:tcW w:w="2393" w:type="dxa"/>
          </w:tcPr>
          <w:p w:rsidR="002D560F" w:rsidRDefault="002E0AF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10,371,598</w:t>
            </w:r>
          </w:p>
        </w:tc>
        <w:tc>
          <w:tcPr>
            <w:tcW w:w="2393" w:type="dxa"/>
          </w:tcPr>
          <w:p w:rsidR="002D560F" w:rsidRDefault="002E0AF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10,371,598</w:t>
            </w:r>
          </w:p>
        </w:tc>
      </w:tr>
      <w:tr w:rsidR="002D560F" w:rsidTr="002E0AFF">
        <w:tc>
          <w:tcPr>
            <w:tcW w:w="472" w:type="dxa"/>
          </w:tcPr>
          <w:p w:rsidR="002D560F" w:rsidRDefault="002D560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8" w:type="dxa"/>
          </w:tcPr>
          <w:p w:rsidR="002D560F" w:rsidRDefault="002E0AF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From customers</w:t>
            </w:r>
          </w:p>
        </w:tc>
        <w:tc>
          <w:tcPr>
            <w:tcW w:w="2393" w:type="dxa"/>
          </w:tcPr>
          <w:p w:rsidR="002D560F" w:rsidRDefault="002E0AF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49,465,495</w:t>
            </w:r>
          </w:p>
        </w:tc>
        <w:tc>
          <w:tcPr>
            <w:tcW w:w="2393" w:type="dxa"/>
          </w:tcPr>
          <w:p w:rsidR="002D560F" w:rsidRDefault="002E0AF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49,446,570</w:t>
            </w:r>
          </w:p>
        </w:tc>
      </w:tr>
      <w:tr w:rsidR="002D560F" w:rsidTr="002E0AFF">
        <w:tc>
          <w:tcPr>
            <w:tcW w:w="472" w:type="dxa"/>
          </w:tcPr>
          <w:p w:rsidR="002D560F" w:rsidRDefault="002E0AF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8" w:type="dxa"/>
          </w:tcPr>
          <w:p w:rsidR="002D560F" w:rsidRDefault="002E0AF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2393" w:type="dxa"/>
          </w:tcPr>
          <w:p w:rsidR="002D560F" w:rsidRDefault="002E0AF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612,972</w:t>
            </w:r>
          </w:p>
        </w:tc>
        <w:tc>
          <w:tcPr>
            <w:tcW w:w="2393" w:type="dxa"/>
          </w:tcPr>
          <w:p w:rsidR="002D560F" w:rsidRDefault="002E0AF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612,974</w:t>
            </w:r>
          </w:p>
        </w:tc>
      </w:tr>
      <w:tr w:rsidR="002E0AFF" w:rsidTr="00BC3D14">
        <w:tc>
          <w:tcPr>
            <w:tcW w:w="9576" w:type="dxa"/>
            <w:gridSpan w:val="4"/>
          </w:tcPr>
          <w:p w:rsidR="002E0AFF" w:rsidRDefault="002E0AF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 related to the equity</w:t>
            </w:r>
          </w:p>
        </w:tc>
      </w:tr>
      <w:tr w:rsidR="002E0AFF" w:rsidTr="002E0AFF">
        <w:tc>
          <w:tcPr>
            <w:tcW w:w="472" w:type="dxa"/>
          </w:tcPr>
          <w:p w:rsidR="002E0AFF" w:rsidRDefault="002E0AFF" w:rsidP="002E0A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8" w:type="dxa"/>
          </w:tcPr>
          <w:p w:rsidR="002E0AFF" w:rsidRDefault="002E0AFF" w:rsidP="002E0A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Equity</w:t>
            </w:r>
          </w:p>
        </w:tc>
        <w:tc>
          <w:tcPr>
            <w:tcW w:w="2393" w:type="dxa"/>
          </w:tcPr>
          <w:p w:rsidR="002E0AFF" w:rsidRDefault="002E0AFF" w:rsidP="002E0A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5,018,384</w:t>
            </w:r>
          </w:p>
        </w:tc>
        <w:tc>
          <w:tcPr>
            <w:tcW w:w="2393" w:type="dxa"/>
          </w:tcPr>
          <w:p w:rsidR="002E0AFF" w:rsidRDefault="002E0AFF" w:rsidP="002E0A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5,018,384</w:t>
            </w:r>
          </w:p>
        </w:tc>
      </w:tr>
      <w:tr w:rsidR="002E0AFF" w:rsidTr="002E0AFF">
        <w:tc>
          <w:tcPr>
            <w:tcW w:w="472" w:type="dxa"/>
          </w:tcPr>
          <w:p w:rsidR="002E0AFF" w:rsidRDefault="002E0AFF" w:rsidP="002E0A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8" w:type="dxa"/>
          </w:tcPr>
          <w:p w:rsidR="002E0AFF" w:rsidRDefault="002E0AFF" w:rsidP="002E0A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Charter capital</w:t>
            </w:r>
          </w:p>
        </w:tc>
        <w:tc>
          <w:tcPr>
            <w:tcW w:w="2393" w:type="dxa"/>
          </w:tcPr>
          <w:p w:rsidR="002E0AFF" w:rsidRDefault="002E0AFF" w:rsidP="002E0A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4,190,199</w:t>
            </w:r>
          </w:p>
        </w:tc>
        <w:tc>
          <w:tcPr>
            <w:tcW w:w="2393" w:type="dxa"/>
          </w:tcPr>
          <w:p w:rsidR="002E0AFF" w:rsidRDefault="002E0AFF" w:rsidP="002E0A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4,190,199</w:t>
            </w:r>
          </w:p>
        </w:tc>
      </w:tr>
      <w:tr w:rsidR="002E0AFF" w:rsidTr="002E0AFF">
        <w:tc>
          <w:tcPr>
            <w:tcW w:w="472" w:type="dxa"/>
          </w:tcPr>
          <w:p w:rsidR="002E0AFF" w:rsidRDefault="002E0AFF" w:rsidP="002E0A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8" w:type="dxa"/>
          </w:tcPr>
          <w:p w:rsidR="002E0AFF" w:rsidRDefault="002E0AFF" w:rsidP="002E0A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E0AFF">
              <w:rPr>
                <w:rFonts w:ascii="Arial" w:hAnsi="Arial" w:cs="Arial"/>
                <w:sz w:val="20"/>
                <w:szCs w:val="20"/>
              </w:rPr>
              <w:t>eserves</w:t>
            </w:r>
          </w:p>
        </w:tc>
        <w:tc>
          <w:tcPr>
            <w:tcW w:w="2393" w:type="dxa"/>
          </w:tcPr>
          <w:p w:rsidR="002E0AFF" w:rsidRDefault="002E0AFF" w:rsidP="002E0A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199,455</w:t>
            </w:r>
          </w:p>
        </w:tc>
        <w:tc>
          <w:tcPr>
            <w:tcW w:w="2393" w:type="dxa"/>
          </w:tcPr>
          <w:p w:rsidR="002E0AFF" w:rsidRDefault="002E0AFF" w:rsidP="002E0A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199,455</w:t>
            </w:r>
          </w:p>
        </w:tc>
      </w:tr>
      <w:tr w:rsidR="002E0AFF" w:rsidTr="002E0AFF">
        <w:tc>
          <w:tcPr>
            <w:tcW w:w="472" w:type="dxa"/>
          </w:tcPr>
          <w:p w:rsidR="002E0AFF" w:rsidRDefault="002E0AFF" w:rsidP="002E0A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8" w:type="dxa"/>
          </w:tcPr>
          <w:p w:rsidR="002E0AFF" w:rsidRDefault="002E0AFF" w:rsidP="002E0A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Retained accumulated profit (loss) </w:t>
            </w:r>
          </w:p>
        </w:tc>
        <w:tc>
          <w:tcPr>
            <w:tcW w:w="2393" w:type="dxa"/>
          </w:tcPr>
          <w:p w:rsidR="002E0AFF" w:rsidRDefault="002E0AFF" w:rsidP="002E0A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628,730</w:t>
            </w:r>
          </w:p>
        </w:tc>
        <w:tc>
          <w:tcPr>
            <w:tcW w:w="2393" w:type="dxa"/>
          </w:tcPr>
          <w:p w:rsidR="002E0AFF" w:rsidRDefault="002E0AFF" w:rsidP="002E0A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628,730</w:t>
            </w:r>
          </w:p>
        </w:tc>
      </w:tr>
    </w:tbl>
    <w:p w:rsidR="002D560F" w:rsidRDefault="002D560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0AFF" w:rsidRDefault="002E0AFF" w:rsidP="002E0A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2E0AFF">
        <w:rPr>
          <w:rFonts w:ascii="Arial" w:hAnsi="Arial" w:cs="Arial"/>
          <w:sz w:val="20"/>
          <w:szCs w:val="20"/>
        </w:rPr>
        <w:t>Approve the Board of Directors' report on the performance of the Board of Directors and the perfor</w:t>
      </w:r>
      <w:r>
        <w:rPr>
          <w:rFonts w:ascii="Arial" w:hAnsi="Arial" w:cs="Arial"/>
          <w:sz w:val="20"/>
          <w:szCs w:val="20"/>
        </w:rPr>
        <w:t>mance evaluation results of members of the Board of Directors</w:t>
      </w:r>
      <w:r w:rsidRPr="002E0AF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councils, c</w:t>
      </w:r>
      <w:r w:rsidRPr="002E0AFF">
        <w:rPr>
          <w:rFonts w:ascii="Arial" w:hAnsi="Arial" w:cs="Arial"/>
          <w:sz w:val="20"/>
          <w:szCs w:val="20"/>
        </w:rPr>
        <w:t>ommittees</w:t>
      </w:r>
      <w:r>
        <w:rPr>
          <w:rFonts w:ascii="Arial" w:hAnsi="Arial" w:cs="Arial"/>
          <w:sz w:val="20"/>
          <w:szCs w:val="20"/>
        </w:rPr>
        <w:t xml:space="preserve"> under the Board of Directors</w:t>
      </w:r>
    </w:p>
    <w:p w:rsidR="002E0AFF" w:rsidRDefault="002E0AFF" w:rsidP="002E0A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 A</w:t>
      </w:r>
      <w:r w:rsidRPr="002E0AFF">
        <w:rPr>
          <w:rFonts w:ascii="Arial" w:hAnsi="Arial" w:cs="Arial"/>
          <w:sz w:val="20"/>
          <w:szCs w:val="20"/>
        </w:rPr>
        <w:t xml:space="preserve">pprove the Report of the Supervisory Board regarding: business results of </w:t>
      </w:r>
      <w:proofErr w:type="spellStart"/>
      <w:r w:rsidRPr="002E0AFF">
        <w:rPr>
          <w:rFonts w:ascii="Arial" w:hAnsi="Arial" w:cs="Arial"/>
          <w:sz w:val="20"/>
          <w:szCs w:val="20"/>
        </w:rPr>
        <w:t>Vietbank</w:t>
      </w:r>
      <w:proofErr w:type="spellEnd"/>
      <w:r w:rsidRPr="002E0AFF">
        <w:rPr>
          <w:rFonts w:ascii="Arial" w:hAnsi="Arial" w:cs="Arial"/>
          <w:sz w:val="20"/>
          <w:szCs w:val="20"/>
        </w:rPr>
        <w:t xml:space="preserve">, on the operation results of the Board of Directors, General Director; self-assessing the operation results of the Supervisory Board and performance evaluation results of members of the Supervisory Board </w:t>
      </w:r>
    </w:p>
    <w:p w:rsidR="002E0AFF" w:rsidRDefault="002E0AFF" w:rsidP="002E0A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AFF">
        <w:rPr>
          <w:rFonts w:ascii="Arial" w:hAnsi="Arial" w:cs="Arial"/>
          <w:sz w:val="20"/>
          <w:szCs w:val="20"/>
        </w:rPr>
        <w:t xml:space="preserve">5. Approving the report on granting credits to subjects in accordance with Clause 1, Article 127 of Law </w:t>
      </w:r>
      <w:r>
        <w:rPr>
          <w:rFonts w:ascii="Arial" w:hAnsi="Arial" w:cs="Arial"/>
          <w:sz w:val="20"/>
          <w:szCs w:val="20"/>
        </w:rPr>
        <w:t>on credit institutions</w:t>
      </w:r>
    </w:p>
    <w:p w:rsidR="002E4C19" w:rsidRDefault="002E0AFF" w:rsidP="002E0A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AFF">
        <w:rPr>
          <w:rFonts w:ascii="Arial" w:hAnsi="Arial" w:cs="Arial"/>
          <w:sz w:val="20"/>
          <w:szCs w:val="20"/>
        </w:rPr>
        <w:t xml:space="preserve">6. Approve the Report on changing the plan </w:t>
      </w:r>
      <w:r>
        <w:rPr>
          <w:rFonts w:ascii="Arial" w:hAnsi="Arial" w:cs="Arial"/>
          <w:sz w:val="20"/>
          <w:szCs w:val="20"/>
        </w:rPr>
        <w:t>on use of proceeds</w:t>
      </w:r>
      <w:r w:rsidRPr="002E0AFF">
        <w:rPr>
          <w:rFonts w:ascii="Arial" w:hAnsi="Arial" w:cs="Arial"/>
          <w:sz w:val="20"/>
          <w:szCs w:val="20"/>
        </w:rPr>
        <w:t xml:space="preserve">/ purpose of use </w:t>
      </w:r>
      <w:r>
        <w:rPr>
          <w:rFonts w:ascii="Arial" w:hAnsi="Arial" w:cs="Arial"/>
          <w:sz w:val="20"/>
          <w:szCs w:val="20"/>
        </w:rPr>
        <w:t>of the proceeds from the increase in</w:t>
      </w:r>
      <w:r w:rsidRPr="002E0AFF">
        <w:rPr>
          <w:rFonts w:ascii="Arial" w:hAnsi="Arial" w:cs="Arial"/>
          <w:sz w:val="20"/>
          <w:szCs w:val="20"/>
        </w:rPr>
        <w:t xml:space="preserve"> charter capital in 2018 and 2019 compare</w:t>
      </w:r>
      <w:r>
        <w:rPr>
          <w:rFonts w:ascii="Arial" w:hAnsi="Arial" w:cs="Arial"/>
          <w:sz w:val="20"/>
          <w:szCs w:val="20"/>
        </w:rPr>
        <w:t>d to the plan on</w:t>
      </w:r>
      <w:r w:rsidRPr="002E0AFF">
        <w:rPr>
          <w:rFonts w:ascii="Arial" w:hAnsi="Arial" w:cs="Arial"/>
          <w:sz w:val="20"/>
          <w:szCs w:val="20"/>
        </w:rPr>
        <w:t xml:space="preserve"> increase </w:t>
      </w:r>
      <w:r>
        <w:rPr>
          <w:rFonts w:ascii="Arial" w:hAnsi="Arial" w:cs="Arial"/>
          <w:sz w:val="20"/>
          <w:szCs w:val="20"/>
        </w:rPr>
        <w:t xml:space="preserve">in </w:t>
      </w:r>
      <w:r w:rsidRPr="002E0AFF">
        <w:rPr>
          <w:rFonts w:ascii="Arial" w:hAnsi="Arial" w:cs="Arial"/>
          <w:sz w:val="20"/>
          <w:szCs w:val="20"/>
        </w:rPr>
        <w:t xml:space="preserve">charter capital in 2018 approved by the </w:t>
      </w:r>
      <w:r w:rsidR="002E4C19">
        <w:rPr>
          <w:rFonts w:ascii="Arial" w:hAnsi="Arial" w:cs="Arial"/>
          <w:sz w:val="20"/>
          <w:szCs w:val="20"/>
        </w:rPr>
        <w:t>annual General Meeting of Shareholders</w:t>
      </w:r>
      <w:r w:rsidRPr="002E0AFF">
        <w:rPr>
          <w:rFonts w:ascii="Arial" w:hAnsi="Arial" w:cs="Arial"/>
          <w:sz w:val="20"/>
          <w:szCs w:val="20"/>
        </w:rPr>
        <w:t xml:space="preserve"> and the State Bank of Vietnam  </w:t>
      </w:r>
    </w:p>
    <w:p w:rsidR="002E4C19" w:rsidRDefault="002E4C19" w:rsidP="002E0A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Approve the p</w:t>
      </w:r>
      <w:r w:rsidR="002E0AFF" w:rsidRPr="002E0AFF">
        <w:rPr>
          <w:rFonts w:ascii="Arial" w:hAnsi="Arial" w:cs="Arial"/>
          <w:sz w:val="20"/>
          <w:szCs w:val="20"/>
        </w:rPr>
        <w:t xml:space="preserve">rofit </w:t>
      </w:r>
      <w:r>
        <w:rPr>
          <w:rFonts w:ascii="Arial" w:hAnsi="Arial" w:cs="Arial"/>
          <w:sz w:val="20"/>
          <w:szCs w:val="20"/>
        </w:rPr>
        <w:t>d</w:t>
      </w:r>
      <w:r w:rsidR="002E0AFF" w:rsidRPr="002E0AFF">
        <w:rPr>
          <w:rFonts w:ascii="Arial" w:hAnsi="Arial" w:cs="Arial"/>
          <w:sz w:val="20"/>
          <w:szCs w:val="20"/>
        </w:rPr>
        <w:t xml:space="preserve">istribution </w:t>
      </w:r>
      <w:r>
        <w:rPr>
          <w:rFonts w:ascii="Arial" w:hAnsi="Arial" w:cs="Arial"/>
          <w:sz w:val="20"/>
          <w:szCs w:val="20"/>
        </w:rPr>
        <w:t>p</w:t>
      </w:r>
      <w:r w:rsidR="002E0AFF" w:rsidRPr="002E0AFF">
        <w:rPr>
          <w:rFonts w:ascii="Arial" w:hAnsi="Arial" w:cs="Arial"/>
          <w:sz w:val="20"/>
          <w:szCs w:val="20"/>
        </w:rPr>
        <w:t xml:space="preserve">lan for 2019, specifically as follows: </w:t>
      </w:r>
    </w:p>
    <w:p w:rsidR="002E0AFF" w:rsidRDefault="002E0AFF" w:rsidP="002E0A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AFF">
        <w:rPr>
          <w:rFonts w:ascii="Arial" w:hAnsi="Arial" w:cs="Arial"/>
          <w:sz w:val="20"/>
          <w:szCs w:val="20"/>
        </w:rPr>
        <w:t xml:space="preserve">Unit: </w:t>
      </w:r>
      <w:r w:rsidR="002E4C19">
        <w:rPr>
          <w:rFonts w:ascii="Arial" w:hAnsi="Arial" w:cs="Arial"/>
          <w:sz w:val="20"/>
          <w:szCs w:val="20"/>
        </w:rPr>
        <w:t>VND million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72"/>
        <w:gridCol w:w="1915"/>
        <w:gridCol w:w="1915"/>
        <w:gridCol w:w="1916"/>
      </w:tblGrid>
      <w:tr w:rsidR="002E4C19" w:rsidTr="002E4C19">
        <w:tc>
          <w:tcPr>
            <w:tcW w:w="558" w:type="dxa"/>
          </w:tcPr>
          <w:p w:rsidR="002E4C19" w:rsidRDefault="002E4C19" w:rsidP="002E0A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272" w:type="dxa"/>
          </w:tcPr>
          <w:p w:rsidR="002E4C19" w:rsidRDefault="002E4C19" w:rsidP="002E0A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1915" w:type="dxa"/>
          </w:tcPr>
          <w:p w:rsidR="002E4C19" w:rsidRDefault="002E4C19" w:rsidP="002E0A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  <w:tc>
          <w:tcPr>
            <w:tcW w:w="1915" w:type="dxa"/>
          </w:tcPr>
          <w:p w:rsidR="002E4C19" w:rsidRDefault="002E4C19" w:rsidP="002E0A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1916" w:type="dxa"/>
          </w:tcPr>
          <w:p w:rsidR="002E4C19" w:rsidRDefault="002E4C19" w:rsidP="002E0A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</w:tr>
      <w:tr w:rsidR="002E4C19" w:rsidTr="002E4C19">
        <w:tc>
          <w:tcPr>
            <w:tcW w:w="558" w:type="dxa"/>
          </w:tcPr>
          <w:p w:rsidR="002E4C19" w:rsidRDefault="002E4C19" w:rsidP="002E0A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2" w:type="dxa"/>
          </w:tcPr>
          <w:p w:rsidR="002E4C19" w:rsidRDefault="002E4C19" w:rsidP="002E0A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1915" w:type="dxa"/>
          </w:tcPr>
          <w:p w:rsidR="002E4C19" w:rsidRDefault="002E4C19" w:rsidP="002E0A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2E4C19" w:rsidRDefault="002E4C19" w:rsidP="002E0A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:rsidR="002E4C19" w:rsidRDefault="002E4C19" w:rsidP="002E0A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612,974</w:t>
            </w:r>
          </w:p>
        </w:tc>
      </w:tr>
      <w:tr w:rsidR="002E4C19" w:rsidTr="002E4C19">
        <w:tc>
          <w:tcPr>
            <w:tcW w:w="558" w:type="dxa"/>
          </w:tcPr>
          <w:p w:rsidR="002E4C19" w:rsidRDefault="002E4C19" w:rsidP="002E0A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2" w:type="dxa"/>
          </w:tcPr>
          <w:p w:rsidR="002E4C19" w:rsidRDefault="002E4C19" w:rsidP="002E0A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Payable corporate income tax</w:t>
            </w:r>
          </w:p>
        </w:tc>
        <w:tc>
          <w:tcPr>
            <w:tcW w:w="1915" w:type="dxa"/>
          </w:tcPr>
          <w:p w:rsidR="002E4C19" w:rsidRDefault="002E4C19" w:rsidP="002E0A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2E4C19" w:rsidRDefault="002E4C19" w:rsidP="002E0A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:rsidR="002E4C19" w:rsidRDefault="002E4C19" w:rsidP="002E0A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127,324</w:t>
            </w:r>
          </w:p>
        </w:tc>
      </w:tr>
      <w:tr w:rsidR="002E4C19" w:rsidTr="002E4C19">
        <w:tc>
          <w:tcPr>
            <w:tcW w:w="558" w:type="dxa"/>
          </w:tcPr>
          <w:p w:rsidR="002E4C19" w:rsidRDefault="002E4C19" w:rsidP="002E0A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272" w:type="dxa"/>
          </w:tcPr>
          <w:p w:rsidR="002E4C19" w:rsidRDefault="002E4C19" w:rsidP="002E0A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Retained after-tax profit of 2019</w:t>
            </w:r>
          </w:p>
        </w:tc>
        <w:tc>
          <w:tcPr>
            <w:tcW w:w="1915" w:type="dxa"/>
          </w:tcPr>
          <w:p w:rsidR="002E4C19" w:rsidRPr="002E4C19" w:rsidRDefault="002E4C19" w:rsidP="002E4C19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(2)</w:t>
            </w:r>
          </w:p>
        </w:tc>
        <w:tc>
          <w:tcPr>
            <w:tcW w:w="1915" w:type="dxa"/>
          </w:tcPr>
          <w:p w:rsidR="002E4C19" w:rsidRDefault="002E4C19" w:rsidP="002E0A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:rsidR="002E4C19" w:rsidRDefault="002E4C19" w:rsidP="002E0A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485,650</w:t>
            </w:r>
          </w:p>
        </w:tc>
      </w:tr>
      <w:tr w:rsidR="002E4C19" w:rsidTr="002E4C19">
        <w:tc>
          <w:tcPr>
            <w:tcW w:w="558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272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profit for distribution in 2019</w:t>
            </w:r>
          </w:p>
        </w:tc>
        <w:tc>
          <w:tcPr>
            <w:tcW w:w="1915" w:type="dxa"/>
          </w:tcPr>
          <w:p w:rsidR="002E4C19" w:rsidRDefault="002E4C19" w:rsidP="002E4C1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915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485,650</w:t>
            </w:r>
          </w:p>
        </w:tc>
      </w:tr>
      <w:tr w:rsidR="002E4C19" w:rsidTr="002E4C19">
        <w:tc>
          <w:tcPr>
            <w:tcW w:w="558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272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Extraction to the additional reserves to charter capital</w:t>
            </w:r>
          </w:p>
        </w:tc>
        <w:tc>
          <w:tcPr>
            <w:tcW w:w="1915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916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24,283</w:t>
            </w:r>
          </w:p>
        </w:tc>
      </w:tr>
      <w:tr w:rsidR="002E4C19" w:rsidTr="002E4C19">
        <w:tc>
          <w:tcPr>
            <w:tcW w:w="558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272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Extraction to the financial provision fund</w:t>
            </w:r>
          </w:p>
        </w:tc>
        <w:tc>
          <w:tcPr>
            <w:tcW w:w="1915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916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48,565</w:t>
            </w:r>
          </w:p>
        </w:tc>
      </w:tr>
      <w:tr w:rsidR="002E4C19" w:rsidTr="002E4C19">
        <w:tc>
          <w:tcPr>
            <w:tcW w:w="558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272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Remaining after-tax profit extracted to the compulsory funds</w:t>
            </w:r>
          </w:p>
        </w:tc>
        <w:tc>
          <w:tcPr>
            <w:tcW w:w="1915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– C - D</w:t>
            </w:r>
          </w:p>
        </w:tc>
        <w:tc>
          <w:tcPr>
            <w:tcW w:w="1915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412,802</w:t>
            </w:r>
          </w:p>
        </w:tc>
      </w:tr>
      <w:tr w:rsidR="002E4C19" w:rsidTr="002E4C19">
        <w:tc>
          <w:tcPr>
            <w:tcW w:w="558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272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Extraction to the Welfare and Reward Fund </w:t>
            </w:r>
          </w:p>
        </w:tc>
        <w:tc>
          <w:tcPr>
            <w:tcW w:w="1915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 monthly salary</w:t>
            </w:r>
          </w:p>
        </w:tc>
        <w:tc>
          <w:tcPr>
            <w:tcW w:w="1915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15.500</w:t>
            </w:r>
          </w:p>
        </w:tc>
      </w:tr>
      <w:tr w:rsidR="002E4C19" w:rsidTr="002E4C19">
        <w:tc>
          <w:tcPr>
            <w:tcW w:w="558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272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Extraction to bonus due to exceeding the after-tax profit plan based on the General Mandate </w:t>
            </w:r>
          </w:p>
        </w:tc>
        <w:tc>
          <w:tcPr>
            <w:tcW w:w="1915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19" w:rsidTr="002E4C19">
        <w:tc>
          <w:tcPr>
            <w:tcW w:w="558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272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Realized profit before tax in 2019</w:t>
            </w:r>
          </w:p>
        </w:tc>
        <w:tc>
          <w:tcPr>
            <w:tcW w:w="1915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612,974</w:t>
            </w:r>
          </w:p>
        </w:tc>
        <w:tc>
          <w:tcPr>
            <w:tcW w:w="1916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19" w:rsidTr="002E4C19">
        <w:tc>
          <w:tcPr>
            <w:tcW w:w="558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272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before tax assigned to plan 2019</w:t>
            </w:r>
          </w:p>
        </w:tc>
        <w:tc>
          <w:tcPr>
            <w:tcW w:w="1915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492,000</w:t>
            </w:r>
          </w:p>
        </w:tc>
        <w:tc>
          <w:tcPr>
            <w:tcW w:w="1916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19" w:rsidTr="002E4C19">
        <w:tc>
          <w:tcPr>
            <w:tcW w:w="558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272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before tax exceeding the plan (a – b)</w:t>
            </w:r>
          </w:p>
        </w:tc>
        <w:tc>
          <w:tcPr>
            <w:tcW w:w="1915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120,974</w:t>
            </w:r>
          </w:p>
        </w:tc>
        <w:tc>
          <w:tcPr>
            <w:tcW w:w="1916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19" w:rsidTr="002E4C19">
        <w:tc>
          <w:tcPr>
            <w:tcW w:w="558" w:type="dxa"/>
          </w:tcPr>
          <w:p w:rsidR="002E4C19" w:rsidRDefault="00390035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3272" w:type="dxa"/>
          </w:tcPr>
          <w:p w:rsidR="002E4C19" w:rsidRDefault="00390035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Corporate income tax</w:t>
            </w:r>
          </w:p>
        </w:tc>
        <w:tc>
          <w:tcPr>
            <w:tcW w:w="1915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2E4C19" w:rsidRDefault="00390035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24,195</w:t>
            </w:r>
          </w:p>
        </w:tc>
        <w:tc>
          <w:tcPr>
            <w:tcW w:w="1916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19" w:rsidTr="002E4C19">
        <w:tc>
          <w:tcPr>
            <w:tcW w:w="558" w:type="dxa"/>
          </w:tcPr>
          <w:p w:rsidR="002E4C19" w:rsidRDefault="00390035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3272" w:type="dxa"/>
          </w:tcPr>
          <w:p w:rsidR="002E4C19" w:rsidRDefault="00390035" w:rsidP="003900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After-tax profit exceeding the plan (c - d)</w:t>
            </w:r>
          </w:p>
        </w:tc>
        <w:tc>
          <w:tcPr>
            <w:tcW w:w="1915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2E4C19" w:rsidRDefault="00390035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96,779</w:t>
            </w:r>
          </w:p>
        </w:tc>
        <w:tc>
          <w:tcPr>
            <w:tcW w:w="1916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19" w:rsidTr="002E4C19">
        <w:tc>
          <w:tcPr>
            <w:tcW w:w="558" w:type="dxa"/>
          </w:tcPr>
          <w:p w:rsidR="002E4C19" w:rsidRDefault="00390035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f)</w:t>
            </w:r>
          </w:p>
        </w:tc>
        <w:tc>
          <w:tcPr>
            <w:tcW w:w="3272" w:type="dxa"/>
          </w:tcPr>
          <w:p w:rsidR="002E4C19" w:rsidRDefault="00390035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Extraction to the additional reserves for charter capital</w:t>
            </w:r>
          </w:p>
        </w:tc>
        <w:tc>
          <w:tcPr>
            <w:tcW w:w="1915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2E4C19" w:rsidRDefault="00390035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4,839</w:t>
            </w:r>
          </w:p>
        </w:tc>
        <w:tc>
          <w:tcPr>
            <w:tcW w:w="1916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19" w:rsidTr="002E4C19">
        <w:tc>
          <w:tcPr>
            <w:tcW w:w="558" w:type="dxa"/>
          </w:tcPr>
          <w:p w:rsidR="002E4C19" w:rsidRDefault="00390035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3272" w:type="dxa"/>
          </w:tcPr>
          <w:p w:rsidR="002E4C19" w:rsidRDefault="00390035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Extraction to the financial provision fund</w:t>
            </w:r>
          </w:p>
        </w:tc>
        <w:tc>
          <w:tcPr>
            <w:tcW w:w="1915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2E4C19" w:rsidRDefault="00390035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9,678</w:t>
            </w:r>
          </w:p>
        </w:tc>
        <w:tc>
          <w:tcPr>
            <w:tcW w:w="1916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19" w:rsidTr="002E4C19">
        <w:tc>
          <w:tcPr>
            <w:tcW w:w="558" w:type="dxa"/>
          </w:tcPr>
          <w:p w:rsidR="002E4C19" w:rsidRDefault="00390035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h)</w:t>
            </w:r>
          </w:p>
        </w:tc>
        <w:tc>
          <w:tcPr>
            <w:tcW w:w="3272" w:type="dxa"/>
          </w:tcPr>
          <w:p w:rsidR="002E4C19" w:rsidRDefault="00390035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exceeding the plan and compulsory fund (e-f-g)</w:t>
            </w:r>
          </w:p>
        </w:tc>
        <w:tc>
          <w:tcPr>
            <w:tcW w:w="1915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2E4C19" w:rsidRDefault="00390035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82,262</w:t>
            </w:r>
          </w:p>
        </w:tc>
        <w:tc>
          <w:tcPr>
            <w:tcW w:w="1916" w:type="dxa"/>
          </w:tcPr>
          <w:p w:rsidR="002E4C19" w:rsidRDefault="002E4C19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19" w:rsidTr="002E4C19">
        <w:tc>
          <w:tcPr>
            <w:tcW w:w="558" w:type="dxa"/>
          </w:tcPr>
          <w:p w:rsidR="002E4C19" w:rsidRDefault="00390035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72" w:type="dxa"/>
          </w:tcPr>
          <w:p w:rsidR="002E4C19" w:rsidRDefault="00390035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Extraction to the bonus exceeding the plan on after-tax profit based on Board resolution 01/ 2018-DHDCD</w:t>
            </w:r>
          </w:p>
        </w:tc>
        <w:tc>
          <w:tcPr>
            <w:tcW w:w="1915" w:type="dxa"/>
          </w:tcPr>
          <w:p w:rsidR="002E4C19" w:rsidRDefault="00390035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 X</w:t>
            </w:r>
          </w:p>
        </w:tc>
        <w:tc>
          <w:tcPr>
            <w:tcW w:w="1915" w:type="dxa"/>
          </w:tcPr>
          <w:p w:rsidR="002E4C19" w:rsidRDefault="00390035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916" w:type="dxa"/>
          </w:tcPr>
          <w:p w:rsidR="002E4C19" w:rsidRDefault="00390035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24.679</w:t>
            </w:r>
          </w:p>
        </w:tc>
      </w:tr>
      <w:tr w:rsidR="002E4C19" w:rsidTr="002E4C19">
        <w:tc>
          <w:tcPr>
            <w:tcW w:w="558" w:type="dxa"/>
          </w:tcPr>
          <w:p w:rsidR="002E4C19" w:rsidRDefault="00390035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3272" w:type="dxa"/>
          </w:tcPr>
          <w:p w:rsidR="002E4C19" w:rsidRDefault="00390035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payment (charter capital x dividend payment rate)</w:t>
            </w:r>
          </w:p>
        </w:tc>
        <w:tc>
          <w:tcPr>
            <w:tcW w:w="1915" w:type="dxa"/>
          </w:tcPr>
          <w:p w:rsidR="002E4C19" w:rsidRDefault="00390035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4,190,199</w:t>
            </w:r>
          </w:p>
        </w:tc>
        <w:tc>
          <w:tcPr>
            <w:tcW w:w="1915" w:type="dxa"/>
          </w:tcPr>
          <w:p w:rsidR="002E4C19" w:rsidRDefault="00390035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916" w:type="dxa"/>
          </w:tcPr>
          <w:p w:rsidR="002E4C19" w:rsidRDefault="00390035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90035" w:rsidTr="002E4C19">
        <w:tc>
          <w:tcPr>
            <w:tcW w:w="558" w:type="dxa"/>
          </w:tcPr>
          <w:p w:rsidR="00390035" w:rsidRDefault="00390035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72" w:type="dxa"/>
          </w:tcPr>
          <w:p w:rsidR="00390035" w:rsidRDefault="00390035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Retained profit</w:t>
            </w:r>
          </w:p>
        </w:tc>
        <w:tc>
          <w:tcPr>
            <w:tcW w:w="1915" w:type="dxa"/>
          </w:tcPr>
          <w:p w:rsidR="00390035" w:rsidRDefault="00390035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 – G – H - I</w:t>
            </w:r>
          </w:p>
        </w:tc>
        <w:tc>
          <w:tcPr>
            <w:tcW w:w="1915" w:type="dxa"/>
          </w:tcPr>
          <w:p w:rsidR="00390035" w:rsidRDefault="00390035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:rsidR="00390035" w:rsidRDefault="00390035" w:rsidP="002E4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372,623</w:t>
            </w:r>
          </w:p>
        </w:tc>
      </w:tr>
    </w:tbl>
    <w:p w:rsidR="002E4C19" w:rsidRDefault="002E4C19" w:rsidP="002E0A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83DAF" w:rsidRDefault="00692D2F" w:rsidP="002E0A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2D2F">
        <w:rPr>
          <w:rFonts w:ascii="Arial" w:hAnsi="Arial" w:cs="Arial"/>
          <w:sz w:val="20"/>
          <w:szCs w:val="20"/>
        </w:rPr>
        <w:t>8. Approve the Pla</w:t>
      </w:r>
      <w:r w:rsidR="00C83DAF">
        <w:rPr>
          <w:rFonts w:ascii="Arial" w:hAnsi="Arial" w:cs="Arial"/>
          <w:sz w:val="20"/>
          <w:szCs w:val="20"/>
        </w:rPr>
        <w:t>n on</w:t>
      </w:r>
      <w:r w:rsidRPr="00692D2F">
        <w:rPr>
          <w:rFonts w:ascii="Arial" w:hAnsi="Arial" w:cs="Arial"/>
          <w:sz w:val="20"/>
          <w:szCs w:val="20"/>
        </w:rPr>
        <w:t xml:space="preserve"> increase </w:t>
      </w:r>
      <w:r w:rsidR="00C83DAF">
        <w:rPr>
          <w:rFonts w:ascii="Arial" w:hAnsi="Arial" w:cs="Arial"/>
          <w:sz w:val="20"/>
          <w:szCs w:val="20"/>
        </w:rPr>
        <w:t xml:space="preserve">in </w:t>
      </w:r>
      <w:r w:rsidRPr="00692D2F">
        <w:rPr>
          <w:rFonts w:ascii="Arial" w:hAnsi="Arial" w:cs="Arial"/>
          <w:sz w:val="20"/>
          <w:szCs w:val="20"/>
        </w:rPr>
        <w:t xml:space="preserve">charter capital in 2020 with the following basic contents: </w:t>
      </w:r>
    </w:p>
    <w:p w:rsidR="00C83DAF" w:rsidRDefault="00C83DAF" w:rsidP="002E0A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92D2F" w:rsidRPr="00692D2F">
        <w:rPr>
          <w:rFonts w:ascii="Arial" w:hAnsi="Arial" w:cs="Arial"/>
          <w:sz w:val="20"/>
          <w:szCs w:val="20"/>
        </w:rPr>
        <w:t>Charter capital at the end</w:t>
      </w:r>
      <w:r>
        <w:rPr>
          <w:rFonts w:ascii="Arial" w:hAnsi="Arial" w:cs="Arial"/>
          <w:sz w:val="20"/>
          <w:szCs w:val="20"/>
        </w:rPr>
        <w:t xml:space="preserve"> of 2019: VND 4,190,199,040,000; all are ordinary shares</w:t>
      </w:r>
    </w:p>
    <w:p w:rsidR="00C83DAF" w:rsidRDefault="00C83DAF" w:rsidP="002E0A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92D2F" w:rsidRPr="00692D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692D2F">
        <w:rPr>
          <w:rFonts w:ascii="Arial" w:hAnsi="Arial" w:cs="Arial"/>
          <w:sz w:val="20"/>
          <w:szCs w:val="20"/>
        </w:rPr>
        <w:t>ncrease</w:t>
      </w:r>
      <w:r>
        <w:rPr>
          <w:rFonts w:ascii="Arial" w:hAnsi="Arial" w:cs="Arial"/>
          <w:sz w:val="20"/>
          <w:szCs w:val="20"/>
        </w:rPr>
        <w:t xml:space="preserve"> in t</w:t>
      </w:r>
      <w:r w:rsidR="00692D2F" w:rsidRPr="00692D2F">
        <w:rPr>
          <w:rFonts w:ascii="Arial" w:hAnsi="Arial" w:cs="Arial"/>
          <w:sz w:val="20"/>
          <w:szCs w:val="20"/>
        </w:rPr>
        <w:t xml:space="preserve">he chartered capital </w:t>
      </w:r>
      <w:r>
        <w:rPr>
          <w:rFonts w:ascii="Arial" w:hAnsi="Arial" w:cs="Arial"/>
          <w:sz w:val="20"/>
          <w:szCs w:val="20"/>
        </w:rPr>
        <w:t>(</w:t>
      </w:r>
      <w:r w:rsidR="00692D2F" w:rsidRPr="00692D2F">
        <w:rPr>
          <w:rFonts w:ascii="Arial" w:hAnsi="Arial" w:cs="Arial"/>
          <w:sz w:val="20"/>
          <w:szCs w:val="20"/>
        </w:rPr>
        <w:t>expected</w:t>
      </w:r>
      <w:r>
        <w:rPr>
          <w:rFonts w:ascii="Arial" w:hAnsi="Arial" w:cs="Arial"/>
          <w:sz w:val="20"/>
          <w:szCs w:val="20"/>
        </w:rPr>
        <w:t>)</w:t>
      </w:r>
      <w:r w:rsidR="00692D2F" w:rsidRPr="00692D2F">
        <w:rPr>
          <w:rFonts w:ascii="Arial" w:hAnsi="Arial" w:cs="Arial"/>
          <w:sz w:val="20"/>
          <w:szCs w:val="20"/>
        </w:rPr>
        <w:t>: VND 628,729,860,000, an increase of 15% compared to</w:t>
      </w:r>
      <w:r>
        <w:rPr>
          <w:rFonts w:ascii="Arial" w:hAnsi="Arial" w:cs="Arial"/>
          <w:sz w:val="20"/>
          <w:szCs w:val="20"/>
        </w:rPr>
        <w:t xml:space="preserve"> the end of 2019</w:t>
      </w:r>
    </w:p>
    <w:p w:rsidR="00C83DAF" w:rsidRDefault="00C83DAF" w:rsidP="002E0A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92D2F" w:rsidRPr="00692D2F">
        <w:rPr>
          <w:rFonts w:ascii="Arial" w:hAnsi="Arial" w:cs="Arial"/>
          <w:sz w:val="20"/>
          <w:szCs w:val="20"/>
        </w:rPr>
        <w:t xml:space="preserve">The new charter capital expected after completing the </w:t>
      </w:r>
      <w:r w:rsidRPr="00692D2F">
        <w:rPr>
          <w:rFonts w:ascii="Arial" w:hAnsi="Arial" w:cs="Arial"/>
          <w:sz w:val="20"/>
          <w:szCs w:val="20"/>
        </w:rPr>
        <w:t xml:space="preserve">capital </w:t>
      </w:r>
      <w:r w:rsidR="00692D2F" w:rsidRPr="00692D2F">
        <w:rPr>
          <w:rFonts w:ascii="Arial" w:hAnsi="Arial" w:cs="Arial"/>
          <w:sz w:val="20"/>
          <w:szCs w:val="20"/>
        </w:rPr>
        <w:t>increase in 2020: VND 4,818,928,900,000</w:t>
      </w:r>
    </w:p>
    <w:p w:rsidR="00C83DAF" w:rsidRDefault="00C83DAF" w:rsidP="002E0A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92D2F" w:rsidRPr="00692D2F">
        <w:rPr>
          <w:rFonts w:ascii="Arial" w:hAnsi="Arial" w:cs="Arial"/>
          <w:sz w:val="20"/>
          <w:szCs w:val="20"/>
        </w:rPr>
        <w:t>Source</w:t>
      </w:r>
      <w:r>
        <w:rPr>
          <w:rFonts w:ascii="Arial" w:hAnsi="Arial" w:cs="Arial"/>
          <w:sz w:val="20"/>
          <w:szCs w:val="20"/>
        </w:rPr>
        <w:t>s</w:t>
      </w:r>
      <w:r w:rsidR="00692D2F" w:rsidRPr="00692D2F">
        <w:rPr>
          <w:rFonts w:ascii="Arial" w:hAnsi="Arial" w:cs="Arial"/>
          <w:sz w:val="20"/>
          <w:szCs w:val="20"/>
        </w:rPr>
        <w:t xml:space="preserve"> used to increase charter capital: from retained </w:t>
      </w:r>
      <w:r>
        <w:rPr>
          <w:rFonts w:ascii="Arial" w:hAnsi="Arial" w:cs="Arial"/>
          <w:sz w:val="20"/>
          <w:szCs w:val="20"/>
        </w:rPr>
        <w:t>profit</w:t>
      </w:r>
      <w:r w:rsidR="00692D2F" w:rsidRPr="00692D2F">
        <w:rPr>
          <w:rFonts w:ascii="Arial" w:hAnsi="Arial" w:cs="Arial"/>
          <w:sz w:val="20"/>
          <w:szCs w:val="20"/>
        </w:rPr>
        <w:t xml:space="preserve"> of 2017-2019 with the</w:t>
      </w:r>
      <w:r>
        <w:rPr>
          <w:rFonts w:ascii="Arial" w:hAnsi="Arial" w:cs="Arial"/>
          <w:sz w:val="20"/>
          <w:szCs w:val="20"/>
        </w:rPr>
        <w:t xml:space="preserve"> amount of VND 628,729,860,000</w:t>
      </w:r>
    </w:p>
    <w:p w:rsidR="00C83DAF" w:rsidRDefault="00C83DAF" w:rsidP="002E0A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92D2F" w:rsidRPr="00692D2F">
        <w:rPr>
          <w:rFonts w:ascii="Arial" w:hAnsi="Arial" w:cs="Arial"/>
          <w:sz w:val="20"/>
          <w:szCs w:val="20"/>
        </w:rPr>
        <w:t>Method of</w:t>
      </w:r>
      <w:r>
        <w:rPr>
          <w:rFonts w:ascii="Arial" w:hAnsi="Arial" w:cs="Arial"/>
          <w:sz w:val="20"/>
          <w:szCs w:val="20"/>
        </w:rPr>
        <w:t xml:space="preserve"> implementation: </w:t>
      </w:r>
      <w:proofErr w:type="spellStart"/>
      <w:r>
        <w:rPr>
          <w:rFonts w:ascii="Arial" w:hAnsi="Arial" w:cs="Arial"/>
          <w:sz w:val="20"/>
          <w:szCs w:val="20"/>
        </w:rPr>
        <w:t>Vietbank</w:t>
      </w:r>
      <w:proofErr w:type="spellEnd"/>
      <w:r>
        <w:rPr>
          <w:rFonts w:ascii="Arial" w:hAnsi="Arial" w:cs="Arial"/>
          <w:sz w:val="20"/>
          <w:szCs w:val="20"/>
        </w:rPr>
        <w:t xml:space="preserve"> issues shares to pay dividend</w:t>
      </w:r>
      <w:r w:rsidR="00692D2F" w:rsidRPr="00692D2F">
        <w:rPr>
          <w:rFonts w:ascii="Arial" w:hAnsi="Arial" w:cs="Arial"/>
          <w:sz w:val="20"/>
          <w:szCs w:val="20"/>
        </w:rPr>
        <w:t xml:space="preserve"> to existing shareholders with the rate of distribution of issued shares: Expected 15% of the outstanding shares </w:t>
      </w:r>
      <w:r>
        <w:rPr>
          <w:rFonts w:ascii="Arial" w:hAnsi="Arial" w:cs="Arial"/>
          <w:sz w:val="20"/>
          <w:szCs w:val="20"/>
        </w:rPr>
        <w:t>on</w:t>
      </w:r>
      <w:r w:rsidR="00692D2F" w:rsidRPr="00692D2F">
        <w:rPr>
          <w:rFonts w:ascii="Arial" w:hAnsi="Arial" w:cs="Arial"/>
          <w:sz w:val="20"/>
          <w:szCs w:val="20"/>
        </w:rPr>
        <w:t xml:space="preserve"> December 31, 2019.  Existing shareholders are entitled to receive additiona</w:t>
      </w:r>
      <w:r>
        <w:rPr>
          <w:rFonts w:ascii="Arial" w:hAnsi="Arial" w:cs="Arial"/>
          <w:sz w:val="20"/>
          <w:szCs w:val="20"/>
        </w:rPr>
        <w:t>l</w:t>
      </w:r>
      <w:r w:rsidR="00692D2F" w:rsidRPr="00692D2F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 w:rsidR="00692D2F" w:rsidRPr="00692D2F">
        <w:rPr>
          <w:rFonts w:ascii="Arial" w:hAnsi="Arial" w:cs="Arial"/>
          <w:sz w:val="20"/>
          <w:szCs w:val="20"/>
        </w:rPr>
        <w:t xml:space="preserve"> </w:t>
      </w:r>
      <w:r w:rsidRPr="00692D2F">
        <w:rPr>
          <w:rFonts w:ascii="Arial" w:hAnsi="Arial" w:cs="Arial"/>
          <w:sz w:val="20"/>
          <w:szCs w:val="20"/>
        </w:rPr>
        <w:t xml:space="preserve">issued </w:t>
      </w:r>
      <w:r w:rsidR="00692D2F" w:rsidRPr="00692D2F">
        <w:rPr>
          <w:rFonts w:ascii="Arial" w:hAnsi="Arial" w:cs="Arial"/>
          <w:sz w:val="20"/>
          <w:szCs w:val="20"/>
        </w:rPr>
        <w:t xml:space="preserve">shares with a </w:t>
      </w:r>
      <w:r>
        <w:rPr>
          <w:rFonts w:ascii="Arial" w:hAnsi="Arial" w:cs="Arial"/>
          <w:sz w:val="20"/>
          <w:szCs w:val="20"/>
        </w:rPr>
        <w:t>distribu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tion ratio of 100: 15 (s</w:t>
      </w:r>
      <w:r w:rsidR="00692D2F" w:rsidRPr="00692D2F">
        <w:rPr>
          <w:rFonts w:ascii="Arial" w:hAnsi="Arial" w:cs="Arial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reholders owning 100 shares</w:t>
      </w:r>
      <w:r w:rsidR="00692D2F" w:rsidRPr="00692D2F">
        <w:rPr>
          <w:rFonts w:ascii="Arial" w:hAnsi="Arial" w:cs="Arial"/>
          <w:sz w:val="20"/>
          <w:szCs w:val="20"/>
        </w:rPr>
        <w:t xml:space="preserve"> receive 15 additional</w:t>
      </w:r>
      <w:r>
        <w:rPr>
          <w:rFonts w:ascii="Arial" w:hAnsi="Arial" w:cs="Arial"/>
          <w:sz w:val="20"/>
          <w:szCs w:val="20"/>
        </w:rPr>
        <w:t>ly</w:t>
      </w:r>
      <w:r w:rsidR="00692D2F" w:rsidRPr="00692D2F">
        <w:rPr>
          <w:rFonts w:ascii="Arial" w:hAnsi="Arial" w:cs="Arial"/>
          <w:sz w:val="20"/>
          <w:szCs w:val="20"/>
        </w:rPr>
        <w:t xml:space="preserve"> </w:t>
      </w:r>
      <w:r w:rsidRPr="00692D2F">
        <w:rPr>
          <w:rFonts w:ascii="Arial" w:hAnsi="Arial" w:cs="Arial"/>
          <w:sz w:val="20"/>
          <w:szCs w:val="20"/>
        </w:rPr>
        <w:t>issued</w:t>
      </w:r>
      <w:r>
        <w:rPr>
          <w:rFonts w:ascii="Arial" w:hAnsi="Arial" w:cs="Arial"/>
          <w:sz w:val="20"/>
          <w:szCs w:val="20"/>
        </w:rPr>
        <w:t xml:space="preserve"> </w:t>
      </w:r>
      <w:r w:rsidR="00692D2F" w:rsidRPr="00692D2F">
        <w:rPr>
          <w:rFonts w:ascii="Arial" w:hAnsi="Arial" w:cs="Arial"/>
          <w:sz w:val="20"/>
          <w:szCs w:val="20"/>
        </w:rPr>
        <w:t>shares</w:t>
      </w:r>
      <w:r>
        <w:rPr>
          <w:rFonts w:ascii="Arial" w:hAnsi="Arial" w:cs="Arial"/>
          <w:sz w:val="20"/>
          <w:szCs w:val="20"/>
        </w:rPr>
        <w:t>)</w:t>
      </w:r>
    </w:p>
    <w:p w:rsidR="00390035" w:rsidRDefault="00692D2F" w:rsidP="002E0A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2D2F">
        <w:rPr>
          <w:rFonts w:ascii="Arial" w:hAnsi="Arial" w:cs="Arial"/>
          <w:sz w:val="20"/>
          <w:szCs w:val="20"/>
        </w:rPr>
        <w:t xml:space="preserve">The number of </w:t>
      </w:r>
      <w:r w:rsidR="00C83DAF" w:rsidRPr="00692D2F">
        <w:rPr>
          <w:rFonts w:ascii="Arial" w:hAnsi="Arial" w:cs="Arial"/>
          <w:sz w:val="20"/>
          <w:szCs w:val="20"/>
        </w:rPr>
        <w:t xml:space="preserve">issued </w:t>
      </w:r>
      <w:r w:rsidRPr="00692D2F">
        <w:rPr>
          <w:rFonts w:ascii="Arial" w:hAnsi="Arial" w:cs="Arial"/>
          <w:sz w:val="20"/>
          <w:szCs w:val="20"/>
        </w:rPr>
        <w:t>shares is calcu</w:t>
      </w:r>
      <w:r w:rsidR="00C83DAF">
        <w:rPr>
          <w:rFonts w:ascii="Arial" w:hAnsi="Arial" w:cs="Arial"/>
          <w:sz w:val="20"/>
          <w:szCs w:val="20"/>
        </w:rPr>
        <w:t>lated according to whole number</w:t>
      </w:r>
      <w:r w:rsidRPr="00692D2F">
        <w:rPr>
          <w:rFonts w:ascii="Arial" w:hAnsi="Arial" w:cs="Arial"/>
          <w:sz w:val="20"/>
          <w:szCs w:val="20"/>
        </w:rPr>
        <w:t xml:space="preserve">, the decimal </w:t>
      </w:r>
      <w:r w:rsidR="00C83DAF">
        <w:rPr>
          <w:rFonts w:ascii="Arial" w:hAnsi="Arial" w:cs="Arial"/>
          <w:sz w:val="20"/>
          <w:szCs w:val="20"/>
        </w:rPr>
        <w:t xml:space="preserve">will not be rounded into 01 share; </w:t>
      </w:r>
      <w:r w:rsidRPr="00692D2F">
        <w:rPr>
          <w:rFonts w:ascii="Arial" w:hAnsi="Arial" w:cs="Arial"/>
          <w:sz w:val="20"/>
          <w:szCs w:val="20"/>
        </w:rPr>
        <w:t>The number of odd shares (if any)</w:t>
      </w:r>
      <w:r w:rsidR="00C83DAF">
        <w:rPr>
          <w:rFonts w:ascii="Arial" w:hAnsi="Arial" w:cs="Arial"/>
          <w:sz w:val="20"/>
          <w:szCs w:val="20"/>
        </w:rPr>
        <w:t xml:space="preserve"> was</w:t>
      </w:r>
      <w:r w:rsidRPr="00692D2F">
        <w:rPr>
          <w:rFonts w:ascii="Arial" w:hAnsi="Arial" w:cs="Arial"/>
          <w:sz w:val="20"/>
          <w:szCs w:val="20"/>
        </w:rPr>
        <w:t xml:space="preserve"> assigned to the Board of Directors </w:t>
      </w:r>
      <w:r w:rsidR="00C83DAF">
        <w:rPr>
          <w:rFonts w:ascii="Arial" w:hAnsi="Arial" w:cs="Arial"/>
          <w:sz w:val="20"/>
          <w:szCs w:val="20"/>
        </w:rPr>
        <w:t>to decide</w:t>
      </w:r>
    </w:p>
    <w:p w:rsidR="00D60291" w:rsidRDefault="00C83DAF" w:rsidP="002E0A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83DAF">
        <w:rPr>
          <w:rFonts w:ascii="Arial" w:hAnsi="Arial" w:cs="Arial"/>
          <w:sz w:val="20"/>
          <w:szCs w:val="20"/>
        </w:rPr>
        <w:t xml:space="preserve">Assigning and authorizing the Board of Directors to decide, including but not limited to: </w:t>
      </w:r>
    </w:p>
    <w:p w:rsidR="00D60291" w:rsidRDefault="00D60291" w:rsidP="002E0A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C83DAF" w:rsidRPr="00C83DAF">
        <w:rPr>
          <w:rFonts w:ascii="Arial" w:hAnsi="Arial" w:cs="Arial"/>
          <w:sz w:val="20"/>
          <w:szCs w:val="20"/>
        </w:rPr>
        <w:t xml:space="preserve"> Necessary issues and legal procedures, including the amendment and supplementation </w:t>
      </w:r>
      <w:r>
        <w:rPr>
          <w:rFonts w:ascii="Arial" w:hAnsi="Arial" w:cs="Arial"/>
          <w:sz w:val="20"/>
          <w:szCs w:val="20"/>
        </w:rPr>
        <w:t>to</w:t>
      </w:r>
      <w:r w:rsidR="00C83DAF" w:rsidRPr="00C83DAF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Plan </w:t>
      </w:r>
      <w:proofErr w:type="gramStart"/>
      <w:r>
        <w:rPr>
          <w:rFonts w:ascii="Arial" w:hAnsi="Arial" w:cs="Arial"/>
          <w:sz w:val="20"/>
          <w:szCs w:val="20"/>
        </w:rPr>
        <w:t>for</w:t>
      </w:r>
      <w:r w:rsidR="00C83DAF" w:rsidRPr="00C83DAF">
        <w:rPr>
          <w:rFonts w:ascii="Arial" w:hAnsi="Arial" w:cs="Arial"/>
          <w:sz w:val="20"/>
          <w:szCs w:val="20"/>
        </w:rPr>
        <w:t xml:space="preserve">  the</w:t>
      </w:r>
      <w:proofErr w:type="gramEnd"/>
      <w:r w:rsidR="00C83DAF" w:rsidRPr="00C83DAF">
        <w:rPr>
          <w:rFonts w:ascii="Arial" w:hAnsi="Arial" w:cs="Arial"/>
          <w:sz w:val="20"/>
          <w:szCs w:val="20"/>
        </w:rPr>
        <w:t xml:space="preserve"> State Management Authority </w:t>
      </w:r>
      <w:r>
        <w:rPr>
          <w:rFonts w:ascii="Arial" w:hAnsi="Arial" w:cs="Arial"/>
          <w:sz w:val="20"/>
          <w:szCs w:val="20"/>
        </w:rPr>
        <w:t>to review and approve</w:t>
      </w:r>
      <w:r w:rsidR="00C83DAF" w:rsidRPr="00C83DAF">
        <w:rPr>
          <w:rFonts w:ascii="Arial" w:hAnsi="Arial" w:cs="Arial"/>
          <w:sz w:val="20"/>
          <w:szCs w:val="20"/>
        </w:rPr>
        <w:t>, based on the principles consistent with actual opera</w:t>
      </w:r>
      <w:r>
        <w:rPr>
          <w:rFonts w:ascii="Arial" w:hAnsi="Arial" w:cs="Arial"/>
          <w:sz w:val="20"/>
          <w:szCs w:val="20"/>
        </w:rPr>
        <w:t xml:space="preserve">tional conditions of </w:t>
      </w:r>
      <w:proofErr w:type="spellStart"/>
      <w:r>
        <w:rPr>
          <w:rFonts w:ascii="Arial" w:hAnsi="Arial" w:cs="Arial"/>
          <w:sz w:val="20"/>
          <w:szCs w:val="20"/>
        </w:rPr>
        <w:t>Vietbank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r w:rsidR="00C83DAF" w:rsidRPr="00C83DAF">
        <w:rPr>
          <w:rFonts w:ascii="Arial" w:hAnsi="Arial" w:cs="Arial"/>
          <w:sz w:val="20"/>
          <w:szCs w:val="20"/>
        </w:rPr>
        <w:t xml:space="preserve">strictly comply with the </w:t>
      </w:r>
      <w:r>
        <w:rPr>
          <w:rFonts w:ascii="Arial" w:hAnsi="Arial" w:cs="Arial"/>
          <w:sz w:val="20"/>
          <w:szCs w:val="20"/>
        </w:rPr>
        <w:t xml:space="preserve">law; </w:t>
      </w:r>
      <w:r w:rsidR="00C83DAF" w:rsidRPr="00C83DAF">
        <w:rPr>
          <w:rFonts w:ascii="Arial" w:hAnsi="Arial" w:cs="Arial"/>
          <w:sz w:val="20"/>
          <w:szCs w:val="20"/>
        </w:rPr>
        <w:t xml:space="preserve">and ensure shareholders' </w:t>
      </w:r>
      <w:r>
        <w:rPr>
          <w:rFonts w:ascii="Arial" w:hAnsi="Arial" w:cs="Arial"/>
          <w:sz w:val="20"/>
          <w:szCs w:val="20"/>
        </w:rPr>
        <w:t>benefits</w:t>
      </w:r>
    </w:p>
    <w:p w:rsidR="00D60291" w:rsidRDefault="00D60291" w:rsidP="002E0A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+</w:t>
      </w:r>
      <w:r w:rsidR="00C83DAF" w:rsidRPr="00C83DAF">
        <w:rPr>
          <w:rFonts w:ascii="Arial" w:hAnsi="Arial" w:cs="Arial"/>
          <w:sz w:val="20"/>
          <w:szCs w:val="20"/>
        </w:rPr>
        <w:t xml:space="preserve"> The time of issuance includes the time of stopping the </w:t>
      </w:r>
      <w:r>
        <w:rPr>
          <w:rFonts w:ascii="Arial" w:hAnsi="Arial" w:cs="Arial"/>
          <w:sz w:val="20"/>
          <w:szCs w:val="20"/>
        </w:rPr>
        <w:t>share issue</w:t>
      </w:r>
      <w:r w:rsidR="00C83DAF" w:rsidRPr="00C83DAF">
        <w:rPr>
          <w:rFonts w:ascii="Arial" w:hAnsi="Arial" w:cs="Arial"/>
          <w:sz w:val="20"/>
          <w:szCs w:val="20"/>
        </w:rPr>
        <w:t xml:space="preserve"> in accordance with the reality and the guidance of the compe</w:t>
      </w:r>
      <w:r>
        <w:rPr>
          <w:rFonts w:ascii="Arial" w:hAnsi="Arial" w:cs="Arial"/>
          <w:sz w:val="20"/>
          <w:szCs w:val="20"/>
        </w:rPr>
        <w:t>tent State management agencies</w:t>
      </w:r>
    </w:p>
    <w:p w:rsidR="00D60291" w:rsidRDefault="00D60291" w:rsidP="002E0A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Handling of odd shares</w:t>
      </w:r>
    </w:p>
    <w:p w:rsidR="00C83DAF" w:rsidRDefault="00D60291" w:rsidP="002E0A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A</w:t>
      </w:r>
      <w:r w:rsidR="00C83DAF" w:rsidRPr="00C83DAF">
        <w:rPr>
          <w:rFonts w:ascii="Arial" w:hAnsi="Arial" w:cs="Arial"/>
          <w:sz w:val="20"/>
          <w:szCs w:val="20"/>
        </w:rPr>
        <w:t>mendments</w:t>
      </w:r>
      <w:r>
        <w:rPr>
          <w:rFonts w:ascii="Arial" w:hAnsi="Arial" w:cs="Arial"/>
          <w:sz w:val="20"/>
          <w:szCs w:val="20"/>
        </w:rPr>
        <w:t xml:space="preserve"> and supplements to the plan on </w:t>
      </w:r>
      <w:r w:rsidR="00C83DAF" w:rsidRPr="00C83DAF">
        <w:rPr>
          <w:rFonts w:ascii="Arial" w:hAnsi="Arial" w:cs="Arial"/>
          <w:sz w:val="20"/>
          <w:szCs w:val="20"/>
        </w:rPr>
        <w:t xml:space="preserve">using the </w:t>
      </w:r>
      <w:r>
        <w:rPr>
          <w:rFonts w:ascii="Arial" w:hAnsi="Arial" w:cs="Arial"/>
          <w:sz w:val="20"/>
          <w:szCs w:val="20"/>
        </w:rPr>
        <w:t xml:space="preserve">proceeds </w:t>
      </w:r>
      <w:r w:rsidR="00C83DAF" w:rsidRPr="00C83DAF">
        <w:rPr>
          <w:rFonts w:ascii="Arial" w:hAnsi="Arial" w:cs="Arial"/>
          <w:sz w:val="20"/>
          <w:szCs w:val="20"/>
        </w:rPr>
        <w:t xml:space="preserve">to ensure compliance with the provisions of law, in accordance with business reality and </w:t>
      </w:r>
      <w:r>
        <w:rPr>
          <w:rFonts w:ascii="Arial" w:hAnsi="Arial" w:cs="Arial"/>
          <w:sz w:val="20"/>
          <w:szCs w:val="20"/>
        </w:rPr>
        <w:t xml:space="preserve">bringing efficiency to </w:t>
      </w:r>
      <w:proofErr w:type="spellStart"/>
      <w:r>
        <w:rPr>
          <w:rFonts w:ascii="Arial" w:hAnsi="Arial" w:cs="Arial"/>
          <w:sz w:val="20"/>
          <w:szCs w:val="20"/>
        </w:rPr>
        <w:t>Vietbank</w:t>
      </w:r>
      <w:proofErr w:type="spellEnd"/>
    </w:p>
    <w:p w:rsidR="00D60291" w:rsidRDefault="00D60291" w:rsidP="00D602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0291">
        <w:rPr>
          <w:rFonts w:ascii="Arial" w:hAnsi="Arial" w:cs="Arial"/>
          <w:sz w:val="20"/>
          <w:szCs w:val="20"/>
        </w:rPr>
        <w:t xml:space="preserve">- Amending and supplementing the registration </w:t>
      </w:r>
      <w:r>
        <w:rPr>
          <w:rFonts w:ascii="Arial" w:hAnsi="Arial" w:cs="Arial"/>
          <w:sz w:val="20"/>
          <w:szCs w:val="20"/>
        </w:rPr>
        <w:t>file for depository transaction</w:t>
      </w:r>
      <w:r w:rsidRPr="00D60291">
        <w:rPr>
          <w:rFonts w:ascii="Arial" w:hAnsi="Arial" w:cs="Arial"/>
          <w:sz w:val="20"/>
          <w:szCs w:val="20"/>
        </w:rPr>
        <w:t xml:space="preserve"> for additional securities according to the guidance of the compet</w:t>
      </w:r>
      <w:r>
        <w:rPr>
          <w:rFonts w:ascii="Arial" w:hAnsi="Arial" w:cs="Arial"/>
          <w:sz w:val="20"/>
          <w:szCs w:val="20"/>
        </w:rPr>
        <w:t>ent State management agencies</w:t>
      </w:r>
    </w:p>
    <w:p w:rsidR="00D60291" w:rsidRDefault="00D60291" w:rsidP="00D602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0291">
        <w:rPr>
          <w:rFonts w:ascii="Arial" w:hAnsi="Arial" w:cs="Arial"/>
          <w:sz w:val="20"/>
          <w:szCs w:val="20"/>
        </w:rPr>
        <w:t>- Carry out legal procedures for amendments and supplements to the operation license, business registration certificate, charter and other legal documents related to updating the ne</w:t>
      </w:r>
      <w:r>
        <w:rPr>
          <w:rFonts w:ascii="Arial" w:hAnsi="Arial" w:cs="Arial"/>
          <w:sz w:val="20"/>
          <w:szCs w:val="20"/>
        </w:rPr>
        <w:t xml:space="preserve">w charter capital of </w:t>
      </w:r>
      <w:proofErr w:type="spellStart"/>
      <w:r>
        <w:rPr>
          <w:rFonts w:ascii="Arial" w:hAnsi="Arial" w:cs="Arial"/>
          <w:sz w:val="20"/>
          <w:szCs w:val="20"/>
        </w:rPr>
        <w:t>Vietbank</w:t>
      </w:r>
      <w:proofErr w:type="spellEnd"/>
    </w:p>
    <w:p w:rsidR="00D60291" w:rsidRDefault="00D60291" w:rsidP="00D602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60291">
        <w:rPr>
          <w:rFonts w:ascii="Arial" w:hAnsi="Arial" w:cs="Arial"/>
          <w:sz w:val="20"/>
          <w:szCs w:val="20"/>
        </w:rPr>
        <w:t xml:space="preserve">During the implementation of authorized tasks, the Board of Directors </w:t>
      </w:r>
      <w:r>
        <w:rPr>
          <w:rFonts w:ascii="Arial" w:hAnsi="Arial" w:cs="Arial"/>
          <w:sz w:val="20"/>
          <w:szCs w:val="20"/>
        </w:rPr>
        <w:t>has</w:t>
      </w:r>
      <w:r w:rsidRPr="00D60291">
        <w:rPr>
          <w:rFonts w:ascii="Arial" w:hAnsi="Arial" w:cs="Arial"/>
          <w:sz w:val="20"/>
          <w:szCs w:val="20"/>
        </w:rPr>
        <w:t xml:space="preserve"> the right to decide the contents within t</w:t>
      </w:r>
      <w:r>
        <w:rPr>
          <w:rFonts w:ascii="Arial" w:hAnsi="Arial" w:cs="Arial"/>
          <w:sz w:val="20"/>
          <w:szCs w:val="20"/>
        </w:rPr>
        <w:t>he scope of authorized duties; carry out and</w:t>
      </w:r>
      <w:r w:rsidRPr="00D60291">
        <w:rPr>
          <w:rFonts w:ascii="Arial" w:hAnsi="Arial" w:cs="Arial"/>
          <w:sz w:val="20"/>
          <w:szCs w:val="20"/>
        </w:rPr>
        <w:t xml:space="preserve">/ or direct and assign </w:t>
      </w:r>
      <w:proofErr w:type="spellStart"/>
      <w:r w:rsidRPr="00D60291">
        <w:rPr>
          <w:rFonts w:ascii="Arial" w:hAnsi="Arial" w:cs="Arial"/>
          <w:sz w:val="20"/>
          <w:szCs w:val="20"/>
        </w:rPr>
        <w:t>Vietbank's</w:t>
      </w:r>
      <w:proofErr w:type="spellEnd"/>
      <w:r w:rsidRPr="00D60291">
        <w:rPr>
          <w:rFonts w:ascii="Arial" w:hAnsi="Arial" w:cs="Arial"/>
          <w:sz w:val="20"/>
          <w:szCs w:val="20"/>
        </w:rPr>
        <w:t xml:space="preserve"> units to perform necess</w:t>
      </w:r>
      <w:r>
        <w:rPr>
          <w:rFonts w:ascii="Arial" w:hAnsi="Arial" w:cs="Arial"/>
          <w:sz w:val="20"/>
          <w:szCs w:val="20"/>
        </w:rPr>
        <w:t xml:space="preserve">ary tasks as prescribed by law; </w:t>
      </w:r>
      <w:r w:rsidRPr="00D60291">
        <w:rPr>
          <w:rFonts w:ascii="Arial" w:hAnsi="Arial" w:cs="Arial"/>
          <w:sz w:val="20"/>
          <w:szCs w:val="20"/>
        </w:rPr>
        <w:t xml:space="preserve">complete and sign relevant </w:t>
      </w:r>
      <w:r>
        <w:rPr>
          <w:rFonts w:ascii="Arial" w:hAnsi="Arial" w:cs="Arial"/>
          <w:sz w:val="20"/>
          <w:szCs w:val="20"/>
        </w:rPr>
        <w:t>documents, papers and documents; work</w:t>
      </w:r>
      <w:r w:rsidRPr="00D60291">
        <w:rPr>
          <w:rFonts w:ascii="Arial" w:hAnsi="Arial" w:cs="Arial"/>
          <w:sz w:val="20"/>
          <w:szCs w:val="20"/>
        </w:rPr>
        <w:t xml:space="preserve"> with competent State management agencies and related parties; </w:t>
      </w:r>
      <w:r>
        <w:rPr>
          <w:rFonts w:ascii="Arial" w:hAnsi="Arial" w:cs="Arial"/>
          <w:sz w:val="20"/>
          <w:szCs w:val="20"/>
        </w:rPr>
        <w:t>c</w:t>
      </w:r>
      <w:r w:rsidRPr="00D60291">
        <w:rPr>
          <w:rFonts w:ascii="Arial" w:hAnsi="Arial" w:cs="Arial"/>
          <w:sz w:val="20"/>
          <w:szCs w:val="20"/>
        </w:rPr>
        <w:t>arry out all other tasks and procedures necessary to carry out the assigned tasks, in accordance with the provisions of</w:t>
      </w:r>
      <w:r>
        <w:rPr>
          <w:rFonts w:ascii="Arial" w:hAnsi="Arial" w:cs="Arial"/>
          <w:sz w:val="20"/>
          <w:szCs w:val="20"/>
        </w:rPr>
        <w:t xml:space="preserve"> law</w:t>
      </w:r>
    </w:p>
    <w:p w:rsidR="00D60291" w:rsidRDefault="00D60291" w:rsidP="00D602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Approving the Statement on</w:t>
      </w:r>
      <w:r w:rsidRPr="00D60291">
        <w:rPr>
          <w:rFonts w:ascii="Arial" w:hAnsi="Arial" w:cs="Arial"/>
          <w:sz w:val="20"/>
          <w:szCs w:val="20"/>
        </w:rPr>
        <w:t xml:space="preserve"> amendments and suppleme</w:t>
      </w:r>
      <w:r>
        <w:rPr>
          <w:rFonts w:ascii="Arial" w:hAnsi="Arial" w:cs="Arial"/>
          <w:sz w:val="20"/>
          <w:szCs w:val="20"/>
        </w:rPr>
        <w:t xml:space="preserve">nts to the Charter of </w:t>
      </w:r>
      <w:proofErr w:type="spellStart"/>
      <w:r>
        <w:rPr>
          <w:rFonts w:ascii="Arial" w:hAnsi="Arial" w:cs="Arial"/>
          <w:sz w:val="20"/>
          <w:szCs w:val="20"/>
        </w:rPr>
        <w:t>Vietbank</w:t>
      </w:r>
      <w:proofErr w:type="spellEnd"/>
    </w:p>
    <w:p w:rsidR="00D60291" w:rsidRDefault="00D60291" w:rsidP="00D602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0291">
        <w:rPr>
          <w:rFonts w:ascii="Arial" w:hAnsi="Arial" w:cs="Arial"/>
          <w:sz w:val="20"/>
          <w:szCs w:val="20"/>
        </w:rPr>
        <w:t xml:space="preserve">10. Approving the listing of </w:t>
      </w:r>
      <w:proofErr w:type="spellStart"/>
      <w:r w:rsidRPr="00D60291">
        <w:rPr>
          <w:rFonts w:ascii="Arial" w:hAnsi="Arial" w:cs="Arial"/>
          <w:sz w:val="20"/>
          <w:szCs w:val="20"/>
        </w:rPr>
        <w:t>Vietbank</w:t>
      </w:r>
      <w:proofErr w:type="spellEnd"/>
      <w:r w:rsidRPr="00D60291">
        <w:rPr>
          <w:rFonts w:ascii="Arial" w:hAnsi="Arial" w:cs="Arial"/>
          <w:sz w:val="20"/>
          <w:szCs w:val="20"/>
        </w:rPr>
        <w:t xml:space="preserve"> shares on the domestic stock market, specifically as follows: </w:t>
      </w:r>
    </w:p>
    <w:p w:rsidR="00D60291" w:rsidRDefault="00D60291" w:rsidP="00D602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60291">
        <w:rPr>
          <w:rFonts w:ascii="Arial" w:hAnsi="Arial" w:cs="Arial"/>
          <w:sz w:val="20"/>
          <w:szCs w:val="20"/>
        </w:rPr>
        <w:t xml:space="preserve">Listing on the stock market for </w:t>
      </w:r>
      <w:proofErr w:type="spellStart"/>
      <w:r w:rsidRPr="00D60291">
        <w:rPr>
          <w:rFonts w:ascii="Arial" w:hAnsi="Arial" w:cs="Arial"/>
          <w:sz w:val="20"/>
          <w:szCs w:val="20"/>
        </w:rPr>
        <w:t>Vietbank</w:t>
      </w:r>
      <w:proofErr w:type="spellEnd"/>
      <w:r w:rsidRPr="00D60291">
        <w:rPr>
          <w:rFonts w:ascii="Arial" w:hAnsi="Arial" w:cs="Arial"/>
          <w:sz w:val="20"/>
          <w:szCs w:val="20"/>
        </w:rPr>
        <w:t xml:space="preserve"> shares shall be implemented when market conditions allow </w:t>
      </w:r>
      <w:r>
        <w:rPr>
          <w:rFonts w:ascii="Arial" w:hAnsi="Arial" w:cs="Arial"/>
          <w:sz w:val="20"/>
          <w:szCs w:val="20"/>
        </w:rPr>
        <w:t>on the basis of</w:t>
      </w:r>
      <w:r w:rsidRPr="00D60291">
        <w:rPr>
          <w:rFonts w:ascii="Arial" w:hAnsi="Arial" w:cs="Arial"/>
          <w:sz w:val="20"/>
          <w:szCs w:val="20"/>
        </w:rPr>
        <w:t xml:space="preserve"> meet</w:t>
      </w:r>
      <w:r>
        <w:rPr>
          <w:rFonts w:ascii="Arial" w:hAnsi="Arial" w:cs="Arial"/>
          <w:sz w:val="20"/>
          <w:szCs w:val="20"/>
        </w:rPr>
        <w:t>ing</w:t>
      </w:r>
      <w:r w:rsidRPr="00D60291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he conditions prescribed by law</w:t>
      </w:r>
    </w:p>
    <w:p w:rsidR="0024200E" w:rsidRDefault="00BC3D14" w:rsidP="00D602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Assign</w:t>
      </w:r>
      <w:r w:rsidRPr="00BC3D14">
        <w:rPr>
          <w:rFonts w:ascii="Arial" w:hAnsi="Arial" w:cs="Arial"/>
          <w:sz w:val="20"/>
          <w:szCs w:val="20"/>
        </w:rPr>
        <w:t xml:space="preserve">/ authorize the Board of Directors to decide the specific listing time, documents, records and direct the </w:t>
      </w:r>
      <w:r>
        <w:rPr>
          <w:rFonts w:ascii="Arial" w:hAnsi="Arial" w:cs="Arial"/>
          <w:sz w:val="20"/>
          <w:szCs w:val="20"/>
        </w:rPr>
        <w:t>Management Board</w:t>
      </w:r>
      <w:r w:rsidRPr="00BC3D1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Divisions</w:t>
      </w:r>
      <w:r w:rsidR="0024200E">
        <w:rPr>
          <w:rFonts w:ascii="Arial" w:hAnsi="Arial" w:cs="Arial"/>
          <w:sz w:val="20"/>
          <w:szCs w:val="20"/>
        </w:rPr>
        <w:t xml:space="preserve">/ Centers /Boards and Office </w:t>
      </w:r>
      <w:r w:rsidRPr="00BC3D14">
        <w:rPr>
          <w:rFonts w:ascii="Arial" w:hAnsi="Arial" w:cs="Arial"/>
          <w:sz w:val="20"/>
          <w:szCs w:val="20"/>
        </w:rPr>
        <w:t>of the Board of Directors to carry out the procedures</w:t>
      </w:r>
      <w:r w:rsidR="0024200E">
        <w:rPr>
          <w:rFonts w:ascii="Arial" w:hAnsi="Arial" w:cs="Arial"/>
          <w:sz w:val="20"/>
          <w:szCs w:val="20"/>
        </w:rPr>
        <w:t xml:space="preserve"> related to</w:t>
      </w:r>
      <w:r w:rsidRPr="00BC3D14">
        <w:rPr>
          <w:rFonts w:ascii="Arial" w:hAnsi="Arial" w:cs="Arial"/>
          <w:sz w:val="20"/>
          <w:szCs w:val="20"/>
        </w:rPr>
        <w:t xml:space="preserve"> </w:t>
      </w:r>
      <w:r w:rsidR="0024200E">
        <w:rPr>
          <w:rFonts w:ascii="Arial" w:hAnsi="Arial" w:cs="Arial"/>
          <w:sz w:val="20"/>
          <w:szCs w:val="20"/>
        </w:rPr>
        <w:t>listing on</w:t>
      </w:r>
      <w:r w:rsidR="0024200E" w:rsidRPr="00BC3D14">
        <w:rPr>
          <w:rFonts w:ascii="Arial" w:hAnsi="Arial" w:cs="Arial"/>
          <w:sz w:val="20"/>
          <w:szCs w:val="20"/>
        </w:rPr>
        <w:t xml:space="preserve"> </w:t>
      </w:r>
      <w:r w:rsidRPr="00BC3D14">
        <w:rPr>
          <w:rFonts w:ascii="Arial" w:hAnsi="Arial" w:cs="Arial"/>
          <w:sz w:val="20"/>
          <w:szCs w:val="20"/>
        </w:rPr>
        <w:t xml:space="preserve">the securities market </w:t>
      </w:r>
      <w:r w:rsidR="0024200E">
        <w:rPr>
          <w:rFonts w:ascii="Arial" w:hAnsi="Arial" w:cs="Arial"/>
          <w:sz w:val="20"/>
          <w:szCs w:val="20"/>
        </w:rPr>
        <w:t xml:space="preserve">mentioned </w:t>
      </w:r>
      <w:r w:rsidR="0024200E" w:rsidRPr="00BC3D14">
        <w:rPr>
          <w:rFonts w:ascii="Arial" w:hAnsi="Arial" w:cs="Arial"/>
          <w:sz w:val="20"/>
          <w:szCs w:val="20"/>
        </w:rPr>
        <w:t xml:space="preserve">above </w:t>
      </w:r>
      <w:r w:rsidRPr="00BC3D14">
        <w:rPr>
          <w:rFonts w:ascii="Arial" w:hAnsi="Arial" w:cs="Arial"/>
          <w:sz w:val="20"/>
          <w:szCs w:val="20"/>
        </w:rPr>
        <w:t>acco</w:t>
      </w:r>
      <w:r w:rsidR="0024200E">
        <w:rPr>
          <w:rFonts w:ascii="Arial" w:hAnsi="Arial" w:cs="Arial"/>
          <w:sz w:val="20"/>
          <w:szCs w:val="20"/>
        </w:rPr>
        <w:t>rding to the provisions of law</w:t>
      </w:r>
    </w:p>
    <w:p w:rsidR="0024200E" w:rsidRDefault="0024200E" w:rsidP="00D602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A</w:t>
      </w:r>
      <w:r w:rsidR="00BC3D14" w:rsidRPr="00BC3D14">
        <w:rPr>
          <w:rFonts w:ascii="Arial" w:hAnsi="Arial" w:cs="Arial"/>
          <w:sz w:val="20"/>
          <w:szCs w:val="20"/>
        </w:rPr>
        <w:t>pprove the Statement o</w:t>
      </w:r>
      <w:r>
        <w:rPr>
          <w:rFonts w:ascii="Arial" w:hAnsi="Arial" w:cs="Arial"/>
          <w:sz w:val="20"/>
          <w:szCs w:val="20"/>
        </w:rPr>
        <w:t>n remuneration, bonus</w:t>
      </w:r>
      <w:r w:rsidR="00BC3D14" w:rsidRPr="00BC3D14">
        <w:rPr>
          <w:rFonts w:ascii="Arial" w:hAnsi="Arial" w:cs="Arial"/>
          <w:sz w:val="20"/>
          <w:szCs w:val="20"/>
        </w:rPr>
        <w:t xml:space="preserve">, other benefits and operating budget of the Board of Directors and the </w:t>
      </w:r>
      <w:r>
        <w:rPr>
          <w:rFonts w:ascii="Arial" w:hAnsi="Arial" w:cs="Arial"/>
          <w:sz w:val="20"/>
          <w:szCs w:val="20"/>
        </w:rPr>
        <w:t>Supervisor Board</w:t>
      </w:r>
      <w:r w:rsidR="00BC3D14" w:rsidRPr="00BC3D14">
        <w:rPr>
          <w:rFonts w:ascii="Arial" w:hAnsi="Arial" w:cs="Arial"/>
          <w:sz w:val="20"/>
          <w:szCs w:val="20"/>
        </w:rPr>
        <w:t xml:space="preserve"> in 2020, specifically: </w:t>
      </w:r>
    </w:p>
    <w:p w:rsidR="0024200E" w:rsidRDefault="0024200E" w:rsidP="00D602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C3D14" w:rsidRPr="00BC3D14">
        <w:rPr>
          <w:rFonts w:ascii="Arial" w:hAnsi="Arial" w:cs="Arial"/>
          <w:sz w:val="20"/>
          <w:szCs w:val="20"/>
        </w:rPr>
        <w:t>Total remuneration in 2020 (excluding</w:t>
      </w:r>
      <w:r>
        <w:rPr>
          <w:rFonts w:ascii="Arial" w:hAnsi="Arial" w:cs="Arial"/>
          <w:sz w:val="20"/>
          <w:szCs w:val="20"/>
        </w:rPr>
        <w:t xml:space="preserve"> the personal income tax</w:t>
      </w:r>
      <w:r w:rsidR="00BC3D14" w:rsidRPr="00BC3D1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 VND 7,883,613,100.</w:t>
      </w:r>
      <w:r w:rsidR="00BC3D14" w:rsidRPr="00BC3D14">
        <w:rPr>
          <w:rFonts w:ascii="Arial" w:hAnsi="Arial" w:cs="Arial"/>
          <w:sz w:val="20"/>
          <w:szCs w:val="20"/>
        </w:rPr>
        <w:t xml:space="preserve"> All related </w:t>
      </w:r>
      <w:r>
        <w:rPr>
          <w:rFonts w:ascii="Arial" w:hAnsi="Arial" w:cs="Arial"/>
          <w:sz w:val="20"/>
          <w:szCs w:val="20"/>
        </w:rPr>
        <w:t>personnel income tax</w:t>
      </w:r>
      <w:r w:rsidR="00BC3D14" w:rsidRPr="00BC3D14">
        <w:rPr>
          <w:rFonts w:ascii="Arial" w:hAnsi="Arial" w:cs="Arial"/>
          <w:sz w:val="20"/>
          <w:szCs w:val="20"/>
        </w:rPr>
        <w:t xml:space="preserve"> in accordance with regula</w:t>
      </w:r>
      <w:r>
        <w:rPr>
          <w:rFonts w:ascii="Arial" w:hAnsi="Arial" w:cs="Arial"/>
          <w:sz w:val="20"/>
          <w:szCs w:val="20"/>
        </w:rPr>
        <w:t xml:space="preserve">tions will be paid by </w:t>
      </w:r>
      <w:proofErr w:type="spellStart"/>
      <w:r>
        <w:rPr>
          <w:rFonts w:ascii="Arial" w:hAnsi="Arial" w:cs="Arial"/>
          <w:sz w:val="20"/>
          <w:szCs w:val="20"/>
        </w:rPr>
        <w:t>Vietbank</w:t>
      </w:r>
      <w:proofErr w:type="spellEnd"/>
      <w:r>
        <w:rPr>
          <w:rFonts w:ascii="Arial" w:hAnsi="Arial" w:cs="Arial"/>
          <w:sz w:val="20"/>
          <w:szCs w:val="20"/>
        </w:rPr>
        <w:t>; a</w:t>
      </w:r>
      <w:r w:rsidR="00BC3D14" w:rsidRPr="00BC3D14">
        <w:rPr>
          <w:rFonts w:ascii="Arial" w:hAnsi="Arial" w:cs="Arial"/>
          <w:sz w:val="20"/>
          <w:szCs w:val="20"/>
        </w:rPr>
        <w:t>ssigning Chairman of the Board of Directors to decide the specifi</w:t>
      </w:r>
      <w:r>
        <w:rPr>
          <w:rFonts w:ascii="Arial" w:hAnsi="Arial" w:cs="Arial"/>
          <w:sz w:val="20"/>
          <w:szCs w:val="20"/>
        </w:rPr>
        <w:t>c remuneration for each member</w:t>
      </w:r>
    </w:p>
    <w:p w:rsidR="0024200E" w:rsidRDefault="0024200E" w:rsidP="00D602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C3D14" w:rsidRPr="00BC3D14">
        <w:rPr>
          <w:rFonts w:ascii="Arial" w:hAnsi="Arial" w:cs="Arial"/>
          <w:sz w:val="20"/>
          <w:szCs w:val="20"/>
        </w:rPr>
        <w:t xml:space="preserve"> The t</w:t>
      </w:r>
      <w:r>
        <w:rPr>
          <w:rFonts w:ascii="Arial" w:hAnsi="Arial" w:cs="Arial"/>
          <w:sz w:val="20"/>
          <w:szCs w:val="20"/>
        </w:rPr>
        <w:t>otal operating budget in 2020: VND 3,000,000,000</w:t>
      </w:r>
    </w:p>
    <w:p w:rsidR="0024200E" w:rsidRDefault="0024200E" w:rsidP="00D602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12. Approve the Statement on</w:t>
      </w:r>
      <w:r w:rsidR="00BC3D14" w:rsidRPr="00BC3D14">
        <w:rPr>
          <w:rFonts w:ascii="Arial" w:hAnsi="Arial" w:cs="Arial"/>
          <w:sz w:val="20"/>
          <w:szCs w:val="20"/>
        </w:rPr>
        <w:t xml:space="preserve"> deduction and use of the reward fund to buy treasury stocks</w:t>
      </w:r>
      <w:r>
        <w:rPr>
          <w:rFonts w:ascii="Arial" w:hAnsi="Arial" w:cs="Arial"/>
          <w:sz w:val="20"/>
          <w:szCs w:val="20"/>
        </w:rPr>
        <w:t xml:space="preserve"> and reward treasury stocks to employees</w:t>
      </w:r>
    </w:p>
    <w:p w:rsidR="0024200E" w:rsidRDefault="00BC3D14" w:rsidP="00D602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3D14">
        <w:rPr>
          <w:rFonts w:ascii="Arial" w:hAnsi="Arial" w:cs="Arial"/>
          <w:sz w:val="20"/>
          <w:szCs w:val="20"/>
        </w:rPr>
        <w:t xml:space="preserve">13. </w:t>
      </w:r>
      <w:r w:rsidR="0024200E">
        <w:rPr>
          <w:rFonts w:ascii="Arial" w:hAnsi="Arial" w:cs="Arial"/>
          <w:sz w:val="20"/>
          <w:szCs w:val="20"/>
        </w:rPr>
        <w:t>Approve</w:t>
      </w:r>
      <w:r w:rsidRPr="00BC3D14">
        <w:rPr>
          <w:rFonts w:ascii="Arial" w:hAnsi="Arial" w:cs="Arial"/>
          <w:sz w:val="20"/>
          <w:szCs w:val="20"/>
        </w:rPr>
        <w:t xml:space="preserve"> the property investment, Lim 2 Building, specifically: </w:t>
      </w:r>
    </w:p>
    <w:p w:rsidR="0024200E" w:rsidRDefault="0024200E" w:rsidP="00D602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C3D14" w:rsidRPr="00BC3D14">
        <w:rPr>
          <w:rFonts w:ascii="Arial" w:hAnsi="Arial" w:cs="Arial"/>
          <w:sz w:val="20"/>
          <w:szCs w:val="20"/>
        </w:rPr>
        <w:t xml:space="preserve"> Buy a part</w:t>
      </w:r>
      <w:r>
        <w:rPr>
          <w:rFonts w:ascii="Arial" w:hAnsi="Arial" w:cs="Arial"/>
          <w:sz w:val="20"/>
          <w:szCs w:val="20"/>
        </w:rPr>
        <w:t xml:space="preserve"> of Lim II Building (expected</w:t>
      </w:r>
      <w:r w:rsidR="00BC3D14" w:rsidRPr="00BC3D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including</w:t>
      </w:r>
      <w:r w:rsidR="00BC3D14" w:rsidRPr="00BC3D14">
        <w:rPr>
          <w:rFonts w:ascii="Arial" w:hAnsi="Arial" w:cs="Arial"/>
          <w:sz w:val="20"/>
          <w:szCs w:val="20"/>
        </w:rPr>
        <w:t xml:space="preserve"> 3 basements</w:t>
      </w:r>
      <w:r>
        <w:rPr>
          <w:rFonts w:ascii="Arial" w:hAnsi="Arial" w:cs="Arial"/>
          <w:sz w:val="20"/>
          <w:szCs w:val="20"/>
        </w:rPr>
        <w:t>, ground floor to 11th floor) for the head office; Estimated purchasing area: 18,</w:t>
      </w:r>
      <w:r w:rsidR="00BC3D14" w:rsidRPr="00BC3D14">
        <w:rPr>
          <w:rFonts w:ascii="Arial" w:hAnsi="Arial" w:cs="Arial"/>
          <w:sz w:val="20"/>
          <w:szCs w:val="20"/>
        </w:rPr>
        <w:t xml:space="preserve">713 m2 including basement B3, B2, B1, 1st floor up to 11th floor including mezzanine </w:t>
      </w:r>
    </w:p>
    <w:p w:rsidR="0024200E" w:rsidRDefault="0024200E" w:rsidP="00D602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C3D14" w:rsidRPr="00BC3D14">
        <w:rPr>
          <w:rFonts w:ascii="Arial" w:hAnsi="Arial" w:cs="Arial"/>
          <w:sz w:val="20"/>
          <w:szCs w:val="20"/>
        </w:rPr>
        <w:t xml:space="preserve">Estimated maximum asset purchase price: </w:t>
      </w:r>
      <w:r>
        <w:rPr>
          <w:rFonts w:ascii="Arial" w:hAnsi="Arial" w:cs="Arial"/>
          <w:sz w:val="20"/>
          <w:szCs w:val="20"/>
        </w:rPr>
        <w:t xml:space="preserve">VND </w:t>
      </w:r>
      <w:r w:rsidR="00BC3D14" w:rsidRPr="00BC3D14">
        <w:rPr>
          <w:rFonts w:ascii="Arial" w:hAnsi="Arial" w:cs="Arial"/>
          <w:sz w:val="20"/>
          <w:szCs w:val="20"/>
        </w:rPr>
        <w:t xml:space="preserve">1,340 billion </w:t>
      </w:r>
      <w:r>
        <w:rPr>
          <w:rFonts w:ascii="Arial" w:hAnsi="Arial" w:cs="Arial"/>
          <w:sz w:val="20"/>
          <w:szCs w:val="20"/>
        </w:rPr>
        <w:t>with VAT</w:t>
      </w:r>
    </w:p>
    <w:p w:rsidR="00D60291" w:rsidRDefault="0024200E" w:rsidP="00D602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</w:t>
      </w:r>
      <w:r w:rsidR="00BC3D14" w:rsidRPr="00BC3D14">
        <w:rPr>
          <w:rFonts w:ascii="Arial" w:hAnsi="Arial" w:cs="Arial"/>
          <w:sz w:val="20"/>
          <w:szCs w:val="20"/>
        </w:rPr>
        <w:t xml:space="preserve">he rest of the Lim </w:t>
      </w:r>
      <w:r>
        <w:rPr>
          <w:rFonts w:ascii="Arial" w:hAnsi="Arial" w:cs="Arial"/>
          <w:sz w:val="20"/>
          <w:szCs w:val="20"/>
        </w:rPr>
        <w:t>II Building</w:t>
      </w:r>
      <w:r w:rsidR="00BC3D14" w:rsidRPr="00BC3D1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C3D14" w:rsidRPr="00BC3D14">
        <w:rPr>
          <w:rFonts w:ascii="Arial" w:hAnsi="Arial" w:cs="Arial"/>
          <w:sz w:val="20"/>
          <w:szCs w:val="20"/>
        </w:rPr>
        <w:t>Vietbank</w:t>
      </w:r>
      <w:proofErr w:type="spellEnd"/>
      <w:r w:rsidR="00BC3D14" w:rsidRPr="00BC3D14">
        <w:rPr>
          <w:rFonts w:ascii="Arial" w:hAnsi="Arial" w:cs="Arial"/>
          <w:sz w:val="20"/>
          <w:szCs w:val="20"/>
        </w:rPr>
        <w:t xml:space="preserve"> will agree to continue purchasing for </w:t>
      </w:r>
      <w:r>
        <w:rPr>
          <w:rFonts w:ascii="Arial" w:hAnsi="Arial" w:cs="Arial"/>
          <w:sz w:val="20"/>
          <w:szCs w:val="20"/>
        </w:rPr>
        <w:t>a maximum of</w:t>
      </w:r>
      <w:r w:rsidR="00BC3D14" w:rsidRPr="00BC3D14">
        <w:rPr>
          <w:rFonts w:ascii="Arial" w:hAnsi="Arial" w:cs="Arial"/>
          <w:sz w:val="20"/>
          <w:szCs w:val="20"/>
        </w:rPr>
        <w:t xml:space="preserve"> 3 years, when </w:t>
      </w:r>
      <w:proofErr w:type="spellStart"/>
      <w:r w:rsidR="00BC3D14" w:rsidRPr="00BC3D14">
        <w:rPr>
          <w:rFonts w:ascii="Arial" w:hAnsi="Arial" w:cs="Arial"/>
          <w:sz w:val="20"/>
          <w:szCs w:val="20"/>
        </w:rPr>
        <w:t>Vietbank</w:t>
      </w:r>
      <w:proofErr w:type="spellEnd"/>
      <w:r w:rsidR="00BC3D14" w:rsidRPr="00BC3D14">
        <w:rPr>
          <w:rFonts w:ascii="Arial" w:hAnsi="Arial" w:cs="Arial"/>
          <w:sz w:val="20"/>
          <w:szCs w:val="20"/>
        </w:rPr>
        <w:t xml:space="preserve"> expands its operation a</w:t>
      </w:r>
      <w:r>
        <w:rPr>
          <w:rFonts w:ascii="Arial" w:hAnsi="Arial" w:cs="Arial"/>
          <w:sz w:val="20"/>
          <w:szCs w:val="20"/>
        </w:rPr>
        <w:t xml:space="preserve">nd has more appropriate capital </w:t>
      </w:r>
      <w:r w:rsidR="00613372">
        <w:rPr>
          <w:rFonts w:ascii="Arial" w:hAnsi="Arial" w:cs="Arial"/>
          <w:sz w:val="20"/>
          <w:szCs w:val="20"/>
        </w:rPr>
        <w:t>resources</w:t>
      </w:r>
    </w:p>
    <w:p w:rsidR="0066126A" w:rsidRDefault="0066126A" w:rsidP="00D602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6126A">
        <w:rPr>
          <w:rFonts w:ascii="Arial" w:hAnsi="Arial" w:cs="Arial"/>
          <w:sz w:val="20"/>
          <w:szCs w:val="20"/>
        </w:rPr>
        <w:t xml:space="preserve">Time for conducting negotiation, agreement and procedures for </w:t>
      </w:r>
      <w:r>
        <w:rPr>
          <w:rFonts w:ascii="Arial" w:hAnsi="Arial" w:cs="Arial"/>
          <w:sz w:val="20"/>
          <w:szCs w:val="20"/>
        </w:rPr>
        <w:t>trading</w:t>
      </w:r>
      <w:r w:rsidRPr="0066126A">
        <w:rPr>
          <w:rFonts w:ascii="Arial" w:hAnsi="Arial" w:cs="Arial"/>
          <w:sz w:val="20"/>
          <w:szCs w:val="20"/>
        </w:rPr>
        <w:t xml:space="preserve"> in 18 months from the date of approval by the </w:t>
      </w:r>
      <w:r>
        <w:rPr>
          <w:rFonts w:ascii="Arial" w:hAnsi="Arial" w:cs="Arial"/>
          <w:sz w:val="20"/>
          <w:szCs w:val="20"/>
        </w:rPr>
        <w:t>annual General Meeting of Shareholders</w:t>
      </w:r>
    </w:p>
    <w:p w:rsidR="0066126A" w:rsidRDefault="0066126A" w:rsidP="00D602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6126A">
        <w:rPr>
          <w:rFonts w:ascii="Arial" w:hAnsi="Arial" w:cs="Arial"/>
          <w:sz w:val="20"/>
          <w:szCs w:val="20"/>
        </w:rPr>
        <w:t xml:space="preserve"> Assign and authorize the Board of Directors to decide, including but not limited to:</w:t>
      </w:r>
    </w:p>
    <w:p w:rsidR="0066126A" w:rsidRDefault="0066126A" w:rsidP="00D602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Negotiate </w:t>
      </w:r>
      <w:r w:rsidRPr="0066126A">
        <w:rPr>
          <w:rFonts w:ascii="Arial" w:hAnsi="Arial" w:cs="Arial"/>
          <w:sz w:val="20"/>
          <w:szCs w:val="20"/>
        </w:rPr>
        <w:t>with partners with the best purchase price to match t</w:t>
      </w:r>
      <w:r>
        <w:rPr>
          <w:rFonts w:ascii="Arial" w:hAnsi="Arial" w:cs="Arial"/>
          <w:sz w:val="20"/>
          <w:szCs w:val="20"/>
        </w:rPr>
        <w:t>he market price and ensure the benefits of shareholders</w:t>
      </w:r>
    </w:p>
    <w:p w:rsidR="0066126A" w:rsidRDefault="0066126A" w:rsidP="00D602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Pr="0066126A">
        <w:rPr>
          <w:rFonts w:ascii="Arial" w:hAnsi="Arial" w:cs="Arial"/>
          <w:sz w:val="20"/>
          <w:szCs w:val="20"/>
        </w:rPr>
        <w:t xml:space="preserve"> Necessary legal issues and procedures when submitting to the competent State management agencies </w:t>
      </w:r>
      <w:r>
        <w:rPr>
          <w:rFonts w:ascii="Arial" w:hAnsi="Arial" w:cs="Arial"/>
          <w:sz w:val="20"/>
          <w:szCs w:val="20"/>
        </w:rPr>
        <w:t>for consideration and approval</w:t>
      </w:r>
    </w:p>
    <w:p w:rsidR="00613372" w:rsidRDefault="0066126A" w:rsidP="00D602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126A">
        <w:rPr>
          <w:rFonts w:ascii="Arial" w:hAnsi="Arial" w:cs="Arial"/>
          <w:sz w:val="20"/>
          <w:szCs w:val="20"/>
        </w:rPr>
        <w:t xml:space="preserve">- Directing the relevant departments to carry out the legal procedures for registration and transfer </w:t>
      </w:r>
      <w:r w:rsidR="00613372">
        <w:rPr>
          <w:rFonts w:ascii="Arial" w:hAnsi="Arial" w:cs="Arial"/>
          <w:sz w:val="20"/>
          <w:szCs w:val="20"/>
        </w:rPr>
        <w:t>the</w:t>
      </w:r>
      <w:r w:rsidRPr="0066126A">
        <w:rPr>
          <w:rFonts w:ascii="Arial" w:hAnsi="Arial" w:cs="Arial"/>
          <w:sz w:val="20"/>
          <w:szCs w:val="20"/>
        </w:rPr>
        <w:t xml:space="preserve"> asset ownership name for </w:t>
      </w:r>
      <w:proofErr w:type="spellStart"/>
      <w:r w:rsidRPr="0066126A">
        <w:rPr>
          <w:rFonts w:ascii="Arial" w:hAnsi="Arial" w:cs="Arial"/>
          <w:sz w:val="20"/>
          <w:szCs w:val="20"/>
        </w:rPr>
        <w:t>Vietbank</w:t>
      </w:r>
      <w:proofErr w:type="spellEnd"/>
      <w:r w:rsidRPr="0066126A">
        <w:rPr>
          <w:rFonts w:ascii="Arial" w:hAnsi="Arial" w:cs="Arial"/>
          <w:sz w:val="20"/>
          <w:szCs w:val="20"/>
        </w:rPr>
        <w:t xml:space="preserve"> and other legal documents related to </w:t>
      </w:r>
      <w:proofErr w:type="spellStart"/>
      <w:r w:rsidRPr="0066126A">
        <w:rPr>
          <w:rFonts w:ascii="Arial" w:hAnsi="Arial" w:cs="Arial"/>
          <w:sz w:val="20"/>
          <w:szCs w:val="20"/>
        </w:rPr>
        <w:t>Vietbank's</w:t>
      </w:r>
      <w:proofErr w:type="spellEnd"/>
      <w:r w:rsidRPr="0066126A">
        <w:rPr>
          <w:rFonts w:ascii="Arial" w:hAnsi="Arial" w:cs="Arial"/>
          <w:sz w:val="20"/>
          <w:szCs w:val="20"/>
        </w:rPr>
        <w:t xml:space="preserve"> property investment</w:t>
      </w:r>
    </w:p>
    <w:p w:rsidR="00613372" w:rsidRDefault="0066126A" w:rsidP="00D602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126A">
        <w:rPr>
          <w:rFonts w:ascii="Arial" w:hAnsi="Arial" w:cs="Arial"/>
          <w:sz w:val="20"/>
          <w:szCs w:val="20"/>
        </w:rPr>
        <w:t xml:space="preserve">14. Approve the annual Report on disclosure of relevant benefits of the Board of Directors, the Supervisory Board and the </w:t>
      </w:r>
      <w:r w:rsidR="00613372">
        <w:rPr>
          <w:rFonts w:ascii="Arial" w:hAnsi="Arial" w:cs="Arial"/>
          <w:sz w:val="20"/>
          <w:szCs w:val="20"/>
        </w:rPr>
        <w:t>Management Board (year 2019)</w:t>
      </w:r>
    </w:p>
    <w:p w:rsidR="00613372" w:rsidRDefault="00613372" w:rsidP="00D602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r w:rsidR="0066126A" w:rsidRPr="0066126A">
        <w:rPr>
          <w:rFonts w:ascii="Arial" w:hAnsi="Arial" w:cs="Arial"/>
          <w:sz w:val="20"/>
          <w:szCs w:val="20"/>
        </w:rPr>
        <w:t xml:space="preserve">Approving the dismissal of the position of </w:t>
      </w:r>
      <w:r w:rsidRPr="0066126A">
        <w:rPr>
          <w:rFonts w:ascii="Arial" w:hAnsi="Arial" w:cs="Arial"/>
          <w:sz w:val="20"/>
          <w:szCs w:val="20"/>
        </w:rPr>
        <w:t xml:space="preserve">member </w:t>
      </w:r>
      <w:r>
        <w:rPr>
          <w:rFonts w:ascii="Arial" w:hAnsi="Arial" w:cs="Arial"/>
          <w:sz w:val="20"/>
          <w:szCs w:val="20"/>
        </w:rPr>
        <w:t xml:space="preserve">of </w:t>
      </w:r>
      <w:r w:rsidR="0066126A" w:rsidRPr="0066126A">
        <w:rPr>
          <w:rFonts w:ascii="Arial" w:hAnsi="Arial" w:cs="Arial"/>
          <w:sz w:val="20"/>
          <w:szCs w:val="20"/>
        </w:rPr>
        <w:t>the Supervisory Board for Ms. Nguyen Thu Phu</w:t>
      </w:r>
      <w:r>
        <w:rPr>
          <w:rFonts w:ascii="Arial" w:hAnsi="Arial" w:cs="Arial"/>
          <w:sz w:val="20"/>
          <w:szCs w:val="20"/>
        </w:rPr>
        <w:t>ong according to personal wish</w:t>
      </w:r>
      <w:r w:rsidR="0066126A" w:rsidRPr="0066126A">
        <w:rPr>
          <w:rFonts w:ascii="Arial" w:hAnsi="Arial" w:cs="Arial"/>
          <w:sz w:val="20"/>
          <w:szCs w:val="20"/>
        </w:rPr>
        <w:t xml:space="preserve"> </w:t>
      </w:r>
    </w:p>
    <w:p w:rsidR="00613372" w:rsidRDefault="0066126A" w:rsidP="00D602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126A">
        <w:rPr>
          <w:rFonts w:ascii="Arial" w:hAnsi="Arial" w:cs="Arial"/>
          <w:sz w:val="20"/>
          <w:szCs w:val="20"/>
        </w:rPr>
        <w:t xml:space="preserve">16. Approving the dismissal of the position of </w:t>
      </w:r>
      <w:r w:rsidR="00613372" w:rsidRPr="0066126A">
        <w:rPr>
          <w:rFonts w:ascii="Arial" w:hAnsi="Arial" w:cs="Arial"/>
          <w:sz w:val="20"/>
          <w:szCs w:val="20"/>
        </w:rPr>
        <w:t xml:space="preserve">member </w:t>
      </w:r>
      <w:r w:rsidR="00613372">
        <w:rPr>
          <w:rFonts w:ascii="Arial" w:hAnsi="Arial" w:cs="Arial"/>
          <w:sz w:val="20"/>
          <w:szCs w:val="20"/>
        </w:rPr>
        <w:t xml:space="preserve">of </w:t>
      </w:r>
      <w:r w:rsidRPr="0066126A">
        <w:rPr>
          <w:rFonts w:ascii="Arial" w:hAnsi="Arial" w:cs="Arial"/>
          <w:sz w:val="20"/>
          <w:szCs w:val="20"/>
        </w:rPr>
        <w:t xml:space="preserve">the </w:t>
      </w:r>
      <w:r w:rsidR="00613372">
        <w:rPr>
          <w:rFonts w:ascii="Arial" w:hAnsi="Arial" w:cs="Arial"/>
          <w:sz w:val="20"/>
          <w:szCs w:val="20"/>
        </w:rPr>
        <w:t>Board of Directors</w:t>
      </w:r>
      <w:r w:rsidRPr="0066126A">
        <w:rPr>
          <w:rFonts w:ascii="Arial" w:hAnsi="Arial" w:cs="Arial"/>
          <w:sz w:val="20"/>
          <w:szCs w:val="20"/>
        </w:rPr>
        <w:t xml:space="preserve"> for Mr. Tran Van</w:t>
      </w:r>
      <w:r w:rsidR="00613372">
        <w:rPr>
          <w:rFonts w:ascii="Arial" w:hAnsi="Arial" w:cs="Arial"/>
          <w:sz w:val="20"/>
          <w:szCs w:val="20"/>
        </w:rPr>
        <w:t xml:space="preserve"> Ta according to personal wish</w:t>
      </w:r>
    </w:p>
    <w:p w:rsidR="0024200E" w:rsidRDefault="0066126A" w:rsidP="00D602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126A">
        <w:rPr>
          <w:rFonts w:ascii="Arial" w:hAnsi="Arial" w:cs="Arial"/>
          <w:sz w:val="20"/>
          <w:szCs w:val="20"/>
        </w:rPr>
        <w:t xml:space="preserve">17. Approving the additional election of </w:t>
      </w:r>
      <w:r w:rsidR="00613372">
        <w:rPr>
          <w:rFonts w:ascii="Arial" w:hAnsi="Arial" w:cs="Arial"/>
          <w:sz w:val="20"/>
          <w:szCs w:val="20"/>
        </w:rPr>
        <w:t xml:space="preserve">member of the Board of Directors </w:t>
      </w:r>
      <w:r w:rsidRPr="0066126A">
        <w:rPr>
          <w:rFonts w:ascii="Arial" w:hAnsi="Arial" w:cs="Arial"/>
          <w:sz w:val="20"/>
          <w:szCs w:val="20"/>
        </w:rPr>
        <w:t>and Supervisory Board for the term</w:t>
      </w:r>
      <w:r w:rsidR="00613372">
        <w:rPr>
          <w:rFonts w:ascii="Arial" w:hAnsi="Arial" w:cs="Arial"/>
          <w:sz w:val="20"/>
          <w:szCs w:val="20"/>
        </w:rPr>
        <w:t xml:space="preserve"> of 2016-</w:t>
      </w:r>
      <w:r w:rsidRPr="0066126A">
        <w:rPr>
          <w:rFonts w:ascii="Arial" w:hAnsi="Arial" w:cs="Arial"/>
          <w:sz w:val="20"/>
          <w:szCs w:val="20"/>
        </w:rPr>
        <w:t>2020, specifically</w:t>
      </w:r>
      <w:r w:rsidR="00613372">
        <w:rPr>
          <w:rFonts w:ascii="Arial" w:hAnsi="Arial" w:cs="Arial"/>
          <w:sz w:val="20"/>
          <w:szCs w:val="20"/>
        </w:rPr>
        <w:t>:</w:t>
      </w:r>
    </w:p>
    <w:p w:rsidR="00613372" w:rsidRDefault="00613372" w:rsidP="00D602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Pr="00613372">
        <w:rPr>
          <w:rFonts w:ascii="Arial" w:hAnsi="Arial" w:cs="Arial"/>
          <w:sz w:val="20"/>
          <w:szCs w:val="20"/>
        </w:rPr>
        <w:t xml:space="preserve">Electing additional members of the Board of Directors for the term </w:t>
      </w:r>
      <w:r>
        <w:rPr>
          <w:rFonts w:ascii="Arial" w:hAnsi="Arial" w:cs="Arial"/>
          <w:sz w:val="20"/>
          <w:szCs w:val="20"/>
        </w:rPr>
        <w:t xml:space="preserve">of </w:t>
      </w:r>
      <w:r w:rsidRPr="00613372">
        <w:rPr>
          <w:rFonts w:ascii="Arial" w:hAnsi="Arial" w:cs="Arial"/>
          <w:sz w:val="20"/>
          <w:szCs w:val="20"/>
        </w:rPr>
        <w:t xml:space="preserve">2016-2020: </w:t>
      </w:r>
    </w:p>
    <w:p w:rsidR="00613372" w:rsidRDefault="00613372" w:rsidP="00D602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13372">
        <w:rPr>
          <w:rFonts w:ascii="Arial" w:hAnsi="Arial" w:cs="Arial"/>
          <w:sz w:val="20"/>
          <w:szCs w:val="20"/>
        </w:rPr>
        <w:t xml:space="preserve">Ms. Mai Hong </w:t>
      </w:r>
      <w:proofErr w:type="spellStart"/>
      <w:r w:rsidRPr="00613372">
        <w:rPr>
          <w:rFonts w:ascii="Arial" w:hAnsi="Arial" w:cs="Arial"/>
          <w:sz w:val="20"/>
          <w:szCs w:val="20"/>
        </w:rPr>
        <w:t>Quy</w:t>
      </w:r>
      <w:proofErr w:type="spellEnd"/>
      <w:r w:rsidRPr="00613372">
        <w:rPr>
          <w:rFonts w:ascii="Arial" w:hAnsi="Arial" w:cs="Arial"/>
          <w:sz w:val="20"/>
          <w:szCs w:val="20"/>
        </w:rPr>
        <w:t xml:space="preserve"> - Independent me</w:t>
      </w:r>
      <w:r>
        <w:rPr>
          <w:rFonts w:ascii="Arial" w:hAnsi="Arial" w:cs="Arial"/>
          <w:sz w:val="20"/>
          <w:szCs w:val="20"/>
        </w:rPr>
        <w:t>mber of the Board of Directors</w:t>
      </w:r>
    </w:p>
    <w:p w:rsidR="00613372" w:rsidRDefault="00613372" w:rsidP="00D602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3372">
        <w:rPr>
          <w:rFonts w:ascii="Arial" w:hAnsi="Arial" w:cs="Arial"/>
          <w:sz w:val="20"/>
          <w:szCs w:val="20"/>
        </w:rPr>
        <w:lastRenderedPageBreak/>
        <w:t xml:space="preserve">- Ms. Quach </w:t>
      </w:r>
      <w:proofErr w:type="gramStart"/>
      <w:r w:rsidRPr="00613372">
        <w:rPr>
          <w:rFonts w:ascii="Arial" w:hAnsi="Arial" w:cs="Arial"/>
          <w:sz w:val="20"/>
          <w:szCs w:val="20"/>
        </w:rPr>
        <w:t>To</w:t>
      </w:r>
      <w:proofErr w:type="gramEnd"/>
      <w:r w:rsidRPr="00613372">
        <w:rPr>
          <w:rFonts w:ascii="Arial" w:hAnsi="Arial" w:cs="Arial"/>
          <w:sz w:val="20"/>
          <w:szCs w:val="20"/>
        </w:rPr>
        <w:t xml:space="preserve"> Dung - Member of the </w:t>
      </w:r>
      <w:r>
        <w:rPr>
          <w:rFonts w:ascii="Arial" w:hAnsi="Arial" w:cs="Arial"/>
          <w:sz w:val="20"/>
          <w:szCs w:val="20"/>
        </w:rPr>
        <w:t xml:space="preserve">Board of Directors </w:t>
      </w:r>
    </w:p>
    <w:p w:rsidR="00613372" w:rsidRDefault="00613372" w:rsidP="00D602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3372">
        <w:rPr>
          <w:rFonts w:ascii="Arial" w:hAnsi="Arial" w:cs="Arial"/>
          <w:sz w:val="20"/>
          <w:szCs w:val="20"/>
        </w:rPr>
        <w:t xml:space="preserve">b.  Elect additional </w:t>
      </w:r>
      <w:r>
        <w:rPr>
          <w:rFonts w:ascii="Arial" w:hAnsi="Arial" w:cs="Arial"/>
          <w:sz w:val="20"/>
          <w:szCs w:val="20"/>
        </w:rPr>
        <w:t xml:space="preserve">members of the </w:t>
      </w:r>
      <w:r w:rsidRPr="00613372">
        <w:rPr>
          <w:rFonts w:ascii="Arial" w:hAnsi="Arial" w:cs="Arial"/>
          <w:sz w:val="20"/>
          <w:szCs w:val="20"/>
        </w:rPr>
        <w:t xml:space="preserve">Supervisory Board for the term </w:t>
      </w:r>
      <w:r>
        <w:rPr>
          <w:rFonts w:ascii="Arial" w:hAnsi="Arial" w:cs="Arial"/>
          <w:sz w:val="20"/>
          <w:szCs w:val="20"/>
        </w:rPr>
        <w:t xml:space="preserve">of </w:t>
      </w:r>
      <w:r w:rsidRPr="00613372">
        <w:rPr>
          <w:rFonts w:ascii="Arial" w:hAnsi="Arial" w:cs="Arial"/>
          <w:sz w:val="20"/>
          <w:szCs w:val="20"/>
        </w:rPr>
        <w:t xml:space="preserve">2016-2020: </w:t>
      </w:r>
    </w:p>
    <w:p w:rsidR="00613372" w:rsidRDefault="00613372" w:rsidP="00D602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3372">
        <w:rPr>
          <w:rFonts w:ascii="Arial" w:hAnsi="Arial" w:cs="Arial"/>
          <w:sz w:val="20"/>
          <w:szCs w:val="20"/>
        </w:rPr>
        <w:t xml:space="preserve">- Mr. Mac </w:t>
      </w:r>
      <w:proofErr w:type="spellStart"/>
      <w:r w:rsidRPr="00613372">
        <w:rPr>
          <w:rFonts w:ascii="Arial" w:hAnsi="Arial" w:cs="Arial"/>
          <w:sz w:val="20"/>
          <w:szCs w:val="20"/>
        </w:rPr>
        <w:t>Huu</w:t>
      </w:r>
      <w:proofErr w:type="spellEnd"/>
      <w:r w:rsidRPr="006133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3372">
        <w:rPr>
          <w:rFonts w:ascii="Arial" w:hAnsi="Arial" w:cs="Arial"/>
          <w:sz w:val="20"/>
          <w:szCs w:val="20"/>
        </w:rPr>
        <w:t>Danh</w:t>
      </w:r>
      <w:proofErr w:type="spellEnd"/>
      <w:r w:rsidRPr="00613372">
        <w:rPr>
          <w:rFonts w:ascii="Arial" w:hAnsi="Arial" w:cs="Arial"/>
          <w:sz w:val="20"/>
          <w:szCs w:val="20"/>
        </w:rPr>
        <w:t xml:space="preserve"> - Full-time m</w:t>
      </w:r>
      <w:r>
        <w:rPr>
          <w:rFonts w:ascii="Arial" w:hAnsi="Arial" w:cs="Arial"/>
          <w:sz w:val="20"/>
          <w:szCs w:val="20"/>
        </w:rPr>
        <w:t>ember of the Supervisory Board</w:t>
      </w:r>
    </w:p>
    <w:p w:rsidR="00613372" w:rsidRDefault="00613372" w:rsidP="00D602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3372">
        <w:rPr>
          <w:rFonts w:ascii="Arial" w:hAnsi="Arial" w:cs="Arial"/>
          <w:sz w:val="20"/>
          <w:szCs w:val="20"/>
        </w:rPr>
        <w:t xml:space="preserve">- Mr. Hua Ngoc </w:t>
      </w:r>
      <w:proofErr w:type="spellStart"/>
      <w:r w:rsidRPr="00613372">
        <w:rPr>
          <w:rFonts w:ascii="Arial" w:hAnsi="Arial" w:cs="Arial"/>
          <w:sz w:val="20"/>
          <w:szCs w:val="20"/>
        </w:rPr>
        <w:t>Nghia</w:t>
      </w:r>
      <w:proofErr w:type="spellEnd"/>
      <w:r w:rsidRPr="00613372">
        <w:rPr>
          <w:rFonts w:ascii="Arial" w:hAnsi="Arial" w:cs="Arial"/>
          <w:sz w:val="20"/>
          <w:szCs w:val="20"/>
        </w:rPr>
        <w:t xml:space="preserve"> - Full-time m</w:t>
      </w:r>
      <w:r>
        <w:rPr>
          <w:rFonts w:ascii="Arial" w:hAnsi="Arial" w:cs="Arial"/>
          <w:sz w:val="20"/>
          <w:szCs w:val="20"/>
        </w:rPr>
        <w:t>ember of the Supervisory Board</w:t>
      </w:r>
    </w:p>
    <w:p w:rsidR="00613372" w:rsidRPr="00D60291" w:rsidRDefault="00613372" w:rsidP="00D602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3372">
        <w:rPr>
          <w:rFonts w:ascii="Arial" w:hAnsi="Arial" w:cs="Arial"/>
          <w:sz w:val="20"/>
          <w:szCs w:val="20"/>
        </w:rPr>
        <w:t xml:space="preserve"> </w:t>
      </w:r>
    </w:p>
    <w:sectPr w:rsidR="00613372" w:rsidRPr="00D60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310"/>
    <w:multiLevelType w:val="hybridMultilevel"/>
    <w:tmpl w:val="894A7CD6"/>
    <w:lvl w:ilvl="0" w:tplc="DFC4E3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76975"/>
    <w:multiLevelType w:val="hybridMultilevel"/>
    <w:tmpl w:val="FFE48982"/>
    <w:lvl w:ilvl="0" w:tplc="90E42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1DF8"/>
    <w:rsid w:val="00007B2E"/>
    <w:rsid w:val="00022849"/>
    <w:rsid w:val="000266C2"/>
    <w:rsid w:val="000365C1"/>
    <w:rsid w:val="00050E3D"/>
    <w:rsid w:val="000603A9"/>
    <w:rsid w:val="00066452"/>
    <w:rsid w:val="00066EE1"/>
    <w:rsid w:val="00075754"/>
    <w:rsid w:val="00085D47"/>
    <w:rsid w:val="000A0B74"/>
    <w:rsid w:val="000A39AA"/>
    <w:rsid w:val="000A5159"/>
    <w:rsid w:val="000A58A2"/>
    <w:rsid w:val="000A6020"/>
    <w:rsid w:val="000B6969"/>
    <w:rsid w:val="000C4127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71CC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F19"/>
    <w:rsid w:val="00202525"/>
    <w:rsid w:val="00203661"/>
    <w:rsid w:val="00207AF4"/>
    <w:rsid w:val="002164D2"/>
    <w:rsid w:val="0022433A"/>
    <w:rsid w:val="00230BF1"/>
    <w:rsid w:val="002319EE"/>
    <w:rsid w:val="0024200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D560F"/>
    <w:rsid w:val="002E0AFF"/>
    <w:rsid w:val="002E4006"/>
    <w:rsid w:val="002E43D7"/>
    <w:rsid w:val="002E4C19"/>
    <w:rsid w:val="002E76E5"/>
    <w:rsid w:val="002E7FD0"/>
    <w:rsid w:val="002F68A9"/>
    <w:rsid w:val="00304722"/>
    <w:rsid w:val="0030503E"/>
    <w:rsid w:val="0031274D"/>
    <w:rsid w:val="00320096"/>
    <w:rsid w:val="0032185B"/>
    <w:rsid w:val="00327CF7"/>
    <w:rsid w:val="00336B31"/>
    <w:rsid w:val="0033774A"/>
    <w:rsid w:val="00341F2F"/>
    <w:rsid w:val="00353428"/>
    <w:rsid w:val="0037607E"/>
    <w:rsid w:val="00377A53"/>
    <w:rsid w:val="00387318"/>
    <w:rsid w:val="00390035"/>
    <w:rsid w:val="00394778"/>
    <w:rsid w:val="00397004"/>
    <w:rsid w:val="003A0ECB"/>
    <w:rsid w:val="003A5CE9"/>
    <w:rsid w:val="003B73F7"/>
    <w:rsid w:val="003B7790"/>
    <w:rsid w:val="003C1805"/>
    <w:rsid w:val="003C4606"/>
    <w:rsid w:val="003C7694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3BB6"/>
    <w:rsid w:val="0044702D"/>
    <w:rsid w:val="004530A7"/>
    <w:rsid w:val="00453C9C"/>
    <w:rsid w:val="00456307"/>
    <w:rsid w:val="00467BC0"/>
    <w:rsid w:val="0047038B"/>
    <w:rsid w:val="00490B2B"/>
    <w:rsid w:val="00496733"/>
    <w:rsid w:val="004A554D"/>
    <w:rsid w:val="004B2BA6"/>
    <w:rsid w:val="004B4798"/>
    <w:rsid w:val="004C144F"/>
    <w:rsid w:val="004E4C16"/>
    <w:rsid w:val="004E73CA"/>
    <w:rsid w:val="00503DD6"/>
    <w:rsid w:val="00505065"/>
    <w:rsid w:val="0052379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B1FDE"/>
    <w:rsid w:val="005B40E5"/>
    <w:rsid w:val="005C57E0"/>
    <w:rsid w:val="005D3B3C"/>
    <w:rsid w:val="005D7F9C"/>
    <w:rsid w:val="005E7B32"/>
    <w:rsid w:val="005F7ED5"/>
    <w:rsid w:val="006000D8"/>
    <w:rsid w:val="00611271"/>
    <w:rsid w:val="00613372"/>
    <w:rsid w:val="0063035E"/>
    <w:rsid w:val="0063581B"/>
    <w:rsid w:val="006374A1"/>
    <w:rsid w:val="00641E78"/>
    <w:rsid w:val="00653D82"/>
    <w:rsid w:val="0066126A"/>
    <w:rsid w:val="00662E88"/>
    <w:rsid w:val="00664834"/>
    <w:rsid w:val="00677CB8"/>
    <w:rsid w:val="00692D2F"/>
    <w:rsid w:val="006938BF"/>
    <w:rsid w:val="006948E2"/>
    <w:rsid w:val="00694B5D"/>
    <w:rsid w:val="00695ACD"/>
    <w:rsid w:val="006A7679"/>
    <w:rsid w:val="006B04E8"/>
    <w:rsid w:val="006B10DB"/>
    <w:rsid w:val="006B22E0"/>
    <w:rsid w:val="006B36E8"/>
    <w:rsid w:val="006D01D8"/>
    <w:rsid w:val="006D683C"/>
    <w:rsid w:val="006E15A6"/>
    <w:rsid w:val="006E23FD"/>
    <w:rsid w:val="006E5E99"/>
    <w:rsid w:val="00703A99"/>
    <w:rsid w:val="007076A6"/>
    <w:rsid w:val="00710F35"/>
    <w:rsid w:val="007218D0"/>
    <w:rsid w:val="007228FB"/>
    <w:rsid w:val="00732DC3"/>
    <w:rsid w:val="007332B1"/>
    <w:rsid w:val="007336C9"/>
    <w:rsid w:val="0073373F"/>
    <w:rsid w:val="00744587"/>
    <w:rsid w:val="00745D9A"/>
    <w:rsid w:val="00747AF7"/>
    <w:rsid w:val="00750F3E"/>
    <w:rsid w:val="00757555"/>
    <w:rsid w:val="00764908"/>
    <w:rsid w:val="0077456B"/>
    <w:rsid w:val="00781EB4"/>
    <w:rsid w:val="00795480"/>
    <w:rsid w:val="007A072F"/>
    <w:rsid w:val="007A1FCC"/>
    <w:rsid w:val="007A3C3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142F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961B3"/>
    <w:rsid w:val="008C0872"/>
    <w:rsid w:val="008C7A42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6F47"/>
    <w:rsid w:val="009A75E3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B4ADE"/>
    <w:rsid w:val="00AC128D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7330"/>
    <w:rsid w:val="00B70D7E"/>
    <w:rsid w:val="00B7158A"/>
    <w:rsid w:val="00B7408A"/>
    <w:rsid w:val="00B9656C"/>
    <w:rsid w:val="00BA1F12"/>
    <w:rsid w:val="00BA2434"/>
    <w:rsid w:val="00BA2DBC"/>
    <w:rsid w:val="00BA3FB7"/>
    <w:rsid w:val="00BB149F"/>
    <w:rsid w:val="00BB2980"/>
    <w:rsid w:val="00BB7147"/>
    <w:rsid w:val="00BC3D14"/>
    <w:rsid w:val="00BD3CCA"/>
    <w:rsid w:val="00BD6721"/>
    <w:rsid w:val="00BD6969"/>
    <w:rsid w:val="00BF0485"/>
    <w:rsid w:val="00C12EC1"/>
    <w:rsid w:val="00C220E2"/>
    <w:rsid w:val="00C2280B"/>
    <w:rsid w:val="00C26F1A"/>
    <w:rsid w:val="00C32F3A"/>
    <w:rsid w:val="00C33F82"/>
    <w:rsid w:val="00C357D3"/>
    <w:rsid w:val="00C36031"/>
    <w:rsid w:val="00C40291"/>
    <w:rsid w:val="00C57CB9"/>
    <w:rsid w:val="00C61EAF"/>
    <w:rsid w:val="00C83D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322FB"/>
    <w:rsid w:val="00D370AF"/>
    <w:rsid w:val="00D415AC"/>
    <w:rsid w:val="00D42678"/>
    <w:rsid w:val="00D52C26"/>
    <w:rsid w:val="00D55D74"/>
    <w:rsid w:val="00D570D1"/>
    <w:rsid w:val="00D6029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46DA"/>
    <w:rsid w:val="00E17016"/>
    <w:rsid w:val="00E20A0F"/>
    <w:rsid w:val="00E24F0A"/>
    <w:rsid w:val="00E27923"/>
    <w:rsid w:val="00E47B26"/>
    <w:rsid w:val="00E51F4E"/>
    <w:rsid w:val="00E53A5C"/>
    <w:rsid w:val="00E5565D"/>
    <w:rsid w:val="00E65132"/>
    <w:rsid w:val="00E7691C"/>
    <w:rsid w:val="00E96289"/>
    <w:rsid w:val="00E96D65"/>
    <w:rsid w:val="00EA090D"/>
    <w:rsid w:val="00EA4C28"/>
    <w:rsid w:val="00EC36C7"/>
    <w:rsid w:val="00EC37DE"/>
    <w:rsid w:val="00ED275B"/>
    <w:rsid w:val="00ED3B40"/>
    <w:rsid w:val="00ED6D41"/>
    <w:rsid w:val="00EF091F"/>
    <w:rsid w:val="00EF47D6"/>
    <w:rsid w:val="00F268FB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77B4F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9749A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8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289</cp:revision>
  <dcterms:created xsi:type="dcterms:W3CDTF">2019-10-16T10:03:00Z</dcterms:created>
  <dcterms:modified xsi:type="dcterms:W3CDTF">2020-05-29T10:28:00Z</dcterms:modified>
</cp:coreProperties>
</file>